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153" w:rsidRDefault="00701153">
      <w:pPr>
        <w:rPr>
          <w:b/>
        </w:rPr>
      </w:pPr>
    </w:p>
    <w:p w:rsidR="00701153" w:rsidRDefault="005C58CF">
      <w:pPr>
        <w:jc w:val="right"/>
      </w:pPr>
      <w:r>
        <w:t>УТВЕРЖДАЮ:</w:t>
      </w:r>
    </w:p>
    <w:p w:rsidR="00701153" w:rsidRDefault="005C58CF">
      <w:pPr>
        <w:jc w:val="right"/>
      </w:pPr>
      <w:r>
        <w:t>Генеральный директор</w:t>
      </w:r>
    </w:p>
    <w:p w:rsidR="00701153" w:rsidRDefault="005C58CF">
      <w:pPr>
        <w:jc w:val="right"/>
      </w:pPr>
      <w:r>
        <w:t>АО «Томскэнергосбыт»</w:t>
      </w:r>
    </w:p>
    <w:p w:rsidR="00701153" w:rsidRPr="004A3EB5" w:rsidRDefault="005C58CF">
      <w:pPr>
        <w:jc w:val="right"/>
      </w:pPr>
      <w:r>
        <w:t xml:space="preserve">_____________ </w:t>
      </w:r>
      <w:r w:rsidRPr="004A3EB5">
        <w:t>Кучевская О. Е.</w:t>
      </w:r>
    </w:p>
    <w:p w:rsidR="00701153" w:rsidRDefault="005C58CF">
      <w:pPr>
        <w:jc w:val="right"/>
      </w:pPr>
      <w:r>
        <w:t xml:space="preserve"> "___"___________________2025 г.</w:t>
      </w:r>
    </w:p>
    <w:p w:rsidR="00701153" w:rsidRDefault="00701153"/>
    <w:p w:rsidR="00701153" w:rsidRDefault="00701153"/>
    <w:p w:rsidR="00701153" w:rsidRDefault="00701153"/>
    <w:p w:rsidR="00701153" w:rsidRDefault="00701153"/>
    <w:p w:rsidR="00701153" w:rsidRDefault="00701153"/>
    <w:p w:rsidR="00701153" w:rsidRDefault="00701153"/>
    <w:p w:rsidR="00701153" w:rsidRDefault="00701153"/>
    <w:p w:rsidR="00701153" w:rsidRDefault="00701153"/>
    <w:p w:rsidR="00701153" w:rsidRDefault="00701153"/>
    <w:p w:rsidR="00701153" w:rsidRDefault="00701153"/>
    <w:p w:rsidR="00701153" w:rsidRDefault="00701153"/>
    <w:p w:rsidR="00701153" w:rsidRDefault="00701153"/>
    <w:p w:rsidR="00701153" w:rsidRDefault="00701153"/>
    <w:p w:rsidR="00701153" w:rsidRDefault="00701153"/>
    <w:p w:rsidR="00701153" w:rsidRDefault="00701153"/>
    <w:p w:rsidR="00701153" w:rsidRDefault="00701153"/>
    <w:p w:rsidR="00701153" w:rsidRDefault="00701153"/>
    <w:p w:rsidR="00701153" w:rsidRDefault="005C58CF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701153" w:rsidRDefault="005C58CF">
      <w:pPr>
        <w:jc w:val="center"/>
        <w:rPr>
          <w:b/>
        </w:rPr>
      </w:pPr>
      <w:r>
        <w:rPr>
          <w:b/>
        </w:rPr>
        <w:t xml:space="preserve">АО «Томскэнергосбыт» </w:t>
      </w:r>
    </w:p>
    <w:p w:rsidR="00701153" w:rsidRDefault="005C58CF">
      <w:pPr>
        <w:spacing w:line="360" w:lineRule="auto"/>
        <w:jc w:val="center"/>
        <w:rPr>
          <w:b/>
        </w:rPr>
      </w:pPr>
      <w:r>
        <w:rPr>
          <w:b/>
        </w:rPr>
        <w:t>«</w:t>
      </w:r>
      <w:r>
        <w:rPr>
          <w:b/>
          <w:bCs/>
        </w:rPr>
        <w:t xml:space="preserve">ПРИОБРЕТЕНИЕ </w:t>
      </w:r>
      <w:r>
        <w:rPr>
          <w:b/>
        </w:rPr>
        <w:t>СЕРВЕРОВ (2025 г.)»</w:t>
      </w:r>
    </w:p>
    <w:p w:rsidR="00701153" w:rsidRDefault="00701153">
      <w:pPr>
        <w:spacing w:line="276" w:lineRule="auto"/>
        <w:rPr>
          <w:b/>
        </w:rPr>
      </w:pPr>
    </w:p>
    <w:p w:rsidR="00701153" w:rsidRDefault="00701153">
      <w:pPr>
        <w:spacing w:line="276" w:lineRule="auto"/>
        <w:ind w:firstLine="567"/>
        <w:jc w:val="center"/>
        <w:rPr>
          <w:b/>
        </w:rPr>
      </w:pPr>
    </w:p>
    <w:p w:rsidR="00701153" w:rsidRDefault="005C58CF">
      <w:pPr>
        <w:spacing w:line="276" w:lineRule="auto"/>
        <w:ind w:firstLine="567"/>
        <w:jc w:val="center"/>
      </w:pPr>
      <w:r>
        <w:t>Идентификатор инвестиционного проекта: О_1</w:t>
      </w:r>
    </w:p>
    <w:p w:rsidR="00701153" w:rsidRDefault="00701153">
      <w:pPr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701153">
      <w:pPr>
        <w:spacing w:line="276" w:lineRule="auto"/>
        <w:ind w:firstLine="567"/>
        <w:rPr>
          <w:b/>
        </w:rPr>
      </w:pPr>
    </w:p>
    <w:p w:rsidR="00701153" w:rsidRDefault="005C58CF">
      <w:pPr>
        <w:spacing w:line="276" w:lineRule="auto"/>
        <w:ind w:firstLine="567"/>
        <w:jc w:val="center"/>
        <w:rPr>
          <w:b/>
        </w:rPr>
      </w:pPr>
      <w:r>
        <w:rPr>
          <w:b/>
        </w:rPr>
        <w:t>Томск 2025</w:t>
      </w:r>
    </w:p>
    <w:p w:rsidR="00701153" w:rsidRDefault="00701153">
      <w:pPr>
        <w:spacing w:line="276" w:lineRule="auto"/>
        <w:ind w:firstLine="567"/>
        <w:jc w:val="center"/>
        <w:rPr>
          <w:b/>
        </w:rPr>
      </w:pPr>
    </w:p>
    <w:p w:rsidR="00701153" w:rsidRDefault="005C58CF">
      <w:pPr>
        <w:pStyle w:val="af"/>
        <w:numPr>
          <w:ilvl w:val="0"/>
          <w:numId w:val="4"/>
        </w:numPr>
        <w:spacing w:line="276" w:lineRule="auto"/>
        <w:ind w:left="0" w:firstLine="709"/>
        <w:rPr>
          <w:rFonts w:eastAsia="Calibri"/>
          <w:b/>
          <w:color w:val="auto"/>
          <w:lang w:eastAsia="en-US"/>
        </w:rPr>
      </w:pPr>
      <w:r>
        <w:rPr>
          <w:rFonts w:eastAsia="Calibri"/>
          <w:b/>
          <w:color w:val="auto"/>
          <w:lang w:eastAsia="en-US"/>
        </w:rPr>
        <w:t xml:space="preserve">ОПИСАНИЕ ИНВЕСТИЦИОННОГО ПРОЕКТА </w:t>
      </w:r>
    </w:p>
    <w:p w:rsidR="00701153" w:rsidRDefault="00701153">
      <w:pPr>
        <w:pStyle w:val="af"/>
        <w:spacing w:line="276" w:lineRule="auto"/>
        <w:rPr>
          <w:rFonts w:eastAsia="Calibri"/>
          <w:color w:val="auto"/>
          <w:lang w:eastAsia="en-US"/>
        </w:rPr>
      </w:pPr>
    </w:p>
    <w:p w:rsidR="00701153" w:rsidRDefault="005C58CF">
      <w:pPr>
        <w:pStyle w:val="af"/>
        <w:numPr>
          <w:ilvl w:val="1"/>
          <w:numId w:val="4"/>
        </w:numPr>
        <w:spacing w:line="276" w:lineRule="auto"/>
        <w:ind w:left="0" w:firstLine="709"/>
        <w:rPr>
          <w:rFonts w:eastAsia="Calibri"/>
          <w:b/>
          <w:color w:val="auto"/>
          <w:lang w:eastAsia="en-US"/>
        </w:rPr>
      </w:pPr>
      <w:r>
        <w:rPr>
          <w:rFonts w:eastAsia="Calibri"/>
          <w:b/>
          <w:color w:val="auto"/>
          <w:lang w:eastAsia="en-US"/>
        </w:rPr>
        <w:t>Объект вложения средств</w:t>
      </w:r>
    </w:p>
    <w:p w:rsidR="00701153" w:rsidRDefault="005C58CF">
      <w:pPr>
        <w:pStyle w:val="af"/>
        <w:spacing w:line="276" w:lineRule="auto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Приобретение серверов для нужд АО «Томскэнергосбыт» (далее – Общество).</w:t>
      </w:r>
    </w:p>
    <w:p w:rsidR="00701153" w:rsidRDefault="00701153">
      <w:pPr>
        <w:pStyle w:val="af"/>
        <w:spacing w:line="276" w:lineRule="auto"/>
        <w:rPr>
          <w:rFonts w:eastAsia="Calibri"/>
          <w:color w:val="auto"/>
          <w:lang w:eastAsia="en-US"/>
        </w:rPr>
      </w:pPr>
    </w:p>
    <w:p w:rsidR="00701153" w:rsidRDefault="005C58CF">
      <w:pPr>
        <w:pStyle w:val="af"/>
        <w:numPr>
          <w:ilvl w:val="1"/>
          <w:numId w:val="4"/>
        </w:numPr>
        <w:spacing w:line="276" w:lineRule="auto"/>
        <w:ind w:left="0" w:firstLine="709"/>
        <w:rPr>
          <w:b/>
          <w:color w:val="auto"/>
        </w:rPr>
      </w:pPr>
      <w:r>
        <w:rPr>
          <w:b/>
          <w:color w:val="auto"/>
        </w:rPr>
        <w:t xml:space="preserve">Необходимость реализации </w:t>
      </w:r>
      <w:r>
        <w:rPr>
          <w:rFonts w:eastAsia="Calibri"/>
          <w:b/>
          <w:color w:val="auto"/>
          <w:lang w:eastAsia="en-US"/>
        </w:rPr>
        <w:t>инвестиционного проекта</w:t>
      </w:r>
    </w:p>
    <w:p w:rsidR="00701153" w:rsidRDefault="00701153">
      <w:pPr>
        <w:pStyle w:val="af"/>
        <w:spacing w:line="276" w:lineRule="auto"/>
        <w:rPr>
          <w:b/>
          <w:color w:val="auto"/>
        </w:rPr>
      </w:pPr>
    </w:p>
    <w:p w:rsidR="00701153" w:rsidRDefault="005C58CF">
      <w:pPr>
        <w:pStyle w:val="af"/>
        <w:spacing w:line="276" w:lineRule="auto"/>
        <w:rPr>
          <w:color w:val="auto"/>
          <w:szCs w:val="22"/>
        </w:rPr>
      </w:pPr>
      <w:r>
        <w:rPr>
          <w:color w:val="auto"/>
          <w:szCs w:val="22"/>
        </w:rPr>
        <w:t xml:space="preserve">В связи с геополитической обстановкой в стране, практически все зарубежные производители ИТ оборудования прекратили свою деятельность на территории РФ. Таким образом, Общество лишилось возможности приобретать сервисную и техническую поддержку на имеющееся оборудование, в частности на сервера, которые являются критическим узлом инфраструктуры АО «Томскэнергосбыт». Выход из строя одного из серверов приведет к замедлению работы ИТ инфраструктуры Общества, выход из строя более одного сервера влечет за собой либо частичную или полную остановку деятельности Общества из-за нехватки аппаратных мощностей для функционирования служб и сервисов Общества.  </w:t>
      </w:r>
    </w:p>
    <w:p w:rsidR="00701153" w:rsidRDefault="00701153">
      <w:pPr>
        <w:pStyle w:val="af"/>
        <w:spacing w:line="276" w:lineRule="auto"/>
        <w:rPr>
          <w:color w:val="auto"/>
          <w:szCs w:val="22"/>
        </w:rPr>
      </w:pPr>
    </w:p>
    <w:p w:rsidR="00701153" w:rsidRDefault="005C58CF">
      <w:pPr>
        <w:pStyle w:val="af"/>
        <w:numPr>
          <w:ilvl w:val="1"/>
          <w:numId w:val="4"/>
        </w:numPr>
        <w:spacing w:line="276" w:lineRule="auto"/>
        <w:ind w:left="0" w:firstLine="709"/>
        <w:rPr>
          <w:b/>
          <w:color w:val="auto"/>
        </w:rPr>
      </w:pPr>
      <w:r>
        <w:rPr>
          <w:b/>
          <w:color w:val="auto"/>
        </w:rPr>
        <w:t xml:space="preserve">Цель </w:t>
      </w:r>
      <w:r>
        <w:rPr>
          <w:rFonts w:eastAsia="Calibri"/>
          <w:b/>
          <w:color w:val="auto"/>
          <w:lang w:eastAsia="en-US"/>
        </w:rPr>
        <w:t>инвестиционного проекта</w:t>
      </w:r>
    </w:p>
    <w:p w:rsidR="00701153" w:rsidRDefault="005C58CF">
      <w:pPr>
        <w:pStyle w:val="af"/>
        <w:spacing w:line="276" w:lineRule="auto"/>
        <w:rPr>
          <w:color w:val="auto"/>
          <w:szCs w:val="22"/>
        </w:rPr>
      </w:pPr>
      <w:r>
        <w:rPr>
          <w:color w:val="auto"/>
          <w:szCs w:val="22"/>
        </w:rPr>
        <w:t>Целью проекта является замена серверного оборудования без сервисного и технического обслуживания, дальнейшая поддержка которых, производителем не оказывается, что поможет снизить риски полной остановки бизнес-процессов Общества в случае отказа оборудования.</w:t>
      </w:r>
    </w:p>
    <w:p w:rsidR="00701153" w:rsidRDefault="00701153">
      <w:pPr>
        <w:pStyle w:val="af"/>
        <w:spacing w:line="360" w:lineRule="auto"/>
        <w:rPr>
          <w:color w:val="auto"/>
          <w:szCs w:val="22"/>
        </w:rPr>
      </w:pPr>
    </w:p>
    <w:p w:rsidR="00701153" w:rsidRDefault="005C58CF">
      <w:pPr>
        <w:pStyle w:val="af"/>
        <w:numPr>
          <w:ilvl w:val="1"/>
          <w:numId w:val="4"/>
        </w:numPr>
        <w:spacing w:line="276" w:lineRule="auto"/>
        <w:ind w:left="0" w:firstLine="709"/>
        <w:rPr>
          <w:b/>
          <w:color w:val="auto"/>
        </w:rPr>
      </w:pPr>
      <w:r>
        <w:rPr>
          <w:b/>
          <w:color w:val="auto"/>
        </w:rPr>
        <w:t xml:space="preserve">Технические решения </w:t>
      </w:r>
      <w:r>
        <w:rPr>
          <w:rFonts w:eastAsia="Calibri"/>
          <w:b/>
          <w:color w:val="auto"/>
          <w:lang w:eastAsia="en-US"/>
        </w:rPr>
        <w:t>инвестиционного проекта</w:t>
      </w:r>
    </w:p>
    <w:p w:rsidR="00701153" w:rsidRDefault="005C58CF">
      <w:pPr>
        <w:pStyle w:val="af"/>
        <w:spacing w:line="276" w:lineRule="auto"/>
        <w:rPr>
          <w:color w:val="auto"/>
        </w:rPr>
      </w:pPr>
      <w:r>
        <w:rPr>
          <w:color w:val="auto"/>
        </w:rPr>
        <w:t xml:space="preserve">В качестве технического решения предлагается приобретение серверного оборудования российского производителя </w:t>
      </w:r>
      <w:r w:rsidRPr="005C58CF">
        <w:rPr>
          <w:color w:val="auto"/>
        </w:rPr>
        <w:t>Аквариус</w:t>
      </w:r>
    </w:p>
    <w:p w:rsidR="00701153" w:rsidRDefault="00701153">
      <w:pPr>
        <w:pStyle w:val="af"/>
        <w:spacing w:line="276" w:lineRule="auto"/>
        <w:ind w:left="927" w:firstLine="0"/>
        <w:rPr>
          <w:b/>
          <w:color w:val="auto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2122"/>
        <w:gridCol w:w="1842"/>
        <w:gridCol w:w="4508"/>
        <w:gridCol w:w="1275"/>
      </w:tblGrid>
      <w:tr w:rsidR="00701153">
        <w:trPr>
          <w:trHeight w:val="63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153" w:rsidRDefault="005C58CF">
            <w:pPr>
              <w:pStyle w:val="af"/>
              <w:spacing w:line="360" w:lineRule="auto"/>
              <w:ind w:firstLine="0"/>
              <w:rPr>
                <w:color w:val="auto"/>
              </w:rPr>
            </w:pPr>
            <w:r>
              <w:rPr>
                <w:color w:val="auto"/>
              </w:rPr>
              <w:t>Артикул</w:t>
            </w:r>
          </w:p>
        </w:tc>
        <w:tc>
          <w:tcPr>
            <w:tcW w:w="18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153" w:rsidRDefault="005C58CF">
            <w:r>
              <w:t>Производитель</w:t>
            </w:r>
          </w:p>
        </w:tc>
        <w:tc>
          <w:tcPr>
            <w:tcW w:w="45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153" w:rsidRDefault="005C58CF">
            <w:pPr>
              <w:jc w:val="center"/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153" w:rsidRDefault="005C58CF">
            <w:pPr>
              <w:jc w:val="center"/>
            </w:pPr>
            <w:r>
              <w:t>Кол-во</w:t>
            </w:r>
          </w:p>
        </w:tc>
      </w:tr>
      <w:tr w:rsidR="00701153">
        <w:trPr>
          <w:trHeight w:val="255"/>
        </w:trPr>
        <w:tc>
          <w:tcPr>
            <w:tcW w:w="212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153" w:rsidRDefault="005C58CF">
            <w:pPr>
              <w:pStyle w:val="af"/>
              <w:spacing w:line="360" w:lineRule="auto"/>
              <w:ind w:firstLine="0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Т50 D110CF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153" w:rsidRDefault="005C58CF">
            <w:pPr>
              <w:pStyle w:val="af"/>
              <w:spacing w:line="360" w:lineRule="auto"/>
              <w:ind w:firstLine="0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Аквариус</w:t>
            </w:r>
          </w:p>
        </w:tc>
        <w:tc>
          <w:tcPr>
            <w:tcW w:w="45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153" w:rsidRPr="005C58CF" w:rsidRDefault="005C58CF">
            <w:pPr>
              <w:pStyle w:val="af"/>
              <w:spacing w:line="360" w:lineRule="auto"/>
              <w:ind w:firstLine="0"/>
              <w:rPr>
                <w:color w:val="auto"/>
              </w:rPr>
            </w:pPr>
            <w:r>
              <w:rPr>
                <w:color w:val="auto"/>
              </w:rPr>
              <w:t xml:space="preserve">Сервер «Аквариус» Т50 D110CF (АМПР.466539.110) 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153" w:rsidRDefault="005C58CF">
            <w:pPr>
              <w:pStyle w:val="af"/>
              <w:spacing w:line="36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</w:tr>
    </w:tbl>
    <w:p w:rsidR="00701153" w:rsidRDefault="00701153">
      <w:pPr>
        <w:pStyle w:val="af"/>
        <w:spacing w:line="276" w:lineRule="auto"/>
        <w:ind w:left="928" w:firstLine="0"/>
        <w:rPr>
          <w:b/>
          <w:color w:val="auto"/>
        </w:rPr>
      </w:pPr>
    </w:p>
    <w:p w:rsidR="00701153" w:rsidRDefault="005C58CF">
      <w:pPr>
        <w:pStyle w:val="af"/>
        <w:numPr>
          <w:ilvl w:val="0"/>
          <w:numId w:val="4"/>
        </w:numPr>
        <w:spacing w:line="276" w:lineRule="auto"/>
        <w:rPr>
          <w:b/>
          <w:color w:val="auto"/>
        </w:rPr>
      </w:pPr>
      <w:r>
        <w:rPr>
          <w:b/>
          <w:color w:val="auto"/>
        </w:rPr>
        <w:t xml:space="preserve">ОБЪЕМ, СРОКИ И ЗАТРАТЫ </w:t>
      </w:r>
      <w:r>
        <w:rPr>
          <w:rFonts w:eastAsia="Calibri"/>
          <w:b/>
          <w:color w:val="auto"/>
          <w:lang w:eastAsia="en-US"/>
        </w:rPr>
        <w:t xml:space="preserve">ИНВЕСТИЦИОННОГО ПРОЕКТА </w:t>
      </w:r>
    </w:p>
    <w:p w:rsidR="00701153" w:rsidRDefault="00701153">
      <w:pPr>
        <w:pStyle w:val="af"/>
        <w:spacing w:line="276" w:lineRule="auto"/>
        <w:ind w:left="928" w:firstLine="0"/>
        <w:rPr>
          <w:b/>
          <w:color w:val="auto"/>
        </w:rPr>
      </w:pPr>
    </w:p>
    <w:p w:rsidR="00701153" w:rsidRDefault="002533DC">
      <w:pPr>
        <w:ind w:firstLine="709"/>
        <w:jc w:val="both"/>
        <w:rPr>
          <w:szCs w:val="22"/>
        </w:rPr>
      </w:pPr>
      <w:hyperlink r:id="rId8" w:history="1">
        <w:r w:rsidR="005C58CF" w:rsidRPr="00246FCA">
          <w:rPr>
            <w:rStyle w:val="af8"/>
            <w:szCs w:val="22"/>
          </w:rPr>
          <w:t>Расчет стоимости</w:t>
        </w:r>
      </w:hyperlink>
      <w:r w:rsidR="005C58CF">
        <w:rPr>
          <w:szCs w:val="22"/>
        </w:rPr>
        <w:t xml:space="preserve"> по инвестиционному проекту произведен на основании следующих коммерческих предложений: </w:t>
      </w:r>
    </w:p>
    <w:p w:rsidR="00701153" w:rsidRDefault="005C58CF" w:rsidP="006F0C86">
      <w:pPr>
        <w:ind w:firstLine="567"/>
        <w:jc w:val="both"/>
      </w:pPr>
      <w:r>
        <w:rPr>
          <w:szCs w:val="22"/>
        </w:rPr>
        <w:t xml:space="preserve">1. </w:t>
      </w:r>
      <w:hyperlink r:id="rId9" w:history="1">
        <w:r w:rsidRPr="00246FCA">
          <w:rPr>
            <w:rStyle w:val="af8"/>
            <w:szCs w:val="22"/>
          </w:rPr>
          <w:t>ООО «Бизкомм»</w:t>
        </w:r>
      </w:hyperlink>
      <w:r>
        <w:rPr>
          <w:szCs w:val="22"/>
        </w:rPr>
        <w:t xml:space="preserve"> (от 26.02.2025): </w:t>
      </w:r>
      <w:bookmarkStart w:id="0" w:name="_Hlk127365273"/>
      <w:r>
        <w:rPr>
          <w:szCs w:val="22"/>
        </w:rPr>
        <w:t xml:space="preserve">сервер Сервер «Аквариус» Т50 D110CF (АМПР.466539.110) </w:t>
      </w:r>
      <w:bookmarkEnd w:id="0"/>
      <w:r>
        <w:rPr>
          <w:szCs w:val="22"/>
        </w:rPr>
        <w:t>- 20 558,87</w:t>
      </w:r>
      <w:r>
        <w:t xml:space="preserve"> тыс. руб. без НДС;</w:t>
      </w:r>
    </w:p>
    <w:p w:rsidR="00701153" w:rsidRDefault="005C58CF">
      <w:pPr>
        <w:ind w:firstLine="709"/>
        <w:jc w:val="both"/>
        <w:rPr>
          <w:szCs w:val="22"/>
        </w:rPr>
      </w:pPr>
      <w:r>
        <w:rPr>
          <w:szCs w:val="22"/>
        </w:rPr>
        <w:t xml:space="preserve">2. </w:t>
      </w:r>
      <w:hyperlink r:id="rId10" w:history="1">
        <w:r w:rsidRPr="00246FCA">
          <w:rPr>
            <w:rStyle w:val="af8"/>
            <w:szCs w:val="22"/>
          </w:rPr>
          <w:t>ООО «Систем Групп»</w:t>
        </w:r>
      </w:hyperlink>
      <w:r>
        <w:rPr>
          <w:szCs w:val="22"/>
        </w:rPr>
        <w:t xml:space="preserve"> (от 24.02.2025): сервер Сервер «Аквариус» Т50 D110CF (АМПР.466539.110) – 24 209,47 тыс. руб. без НДС;</w:t>
      </w:r>
    </w:p>
    <w:p w:rsidR="00701153" w:rsidRDefault="005C58CF">
      <w:pPr>
        <w:ind w:firstLine="709"/>
        <w:jc w:val="both"/>
        <w:rPr>
          <w:szCs w:val="22"/>
        </w:rPr>
      </w:pPr>
      <w:r>
        <w:rPr>
          <w:szCs w:val="22"/>
        </w:rPr>
        <w:t xml:space="preserve">3. </w:t>
      </w:r>
      <w:hyperlink r:id="rId11" w:history="1">
        <w:r w:rsidRPr="00246FCA">
          <w:rPr>
            <w:rStyle w:val="af8"/>
            <w:szCs w:val="22"/>
          </w:rPr>
          <w:t>ООО «АТБГ»</w:t>
        </w:r>
      </w:hyperlink>
      <w:r>
        <w:rPr>
          <w:szCs w:val="22"/>
        </w:rPr>
        <w:t xml:space="preserve"> (от 24.02.2025): сервер Сервер «Аквариус» Т50 D110CF (АМПР.466539.110) – 24 599,16 тыс. руб. без НДС.</w:t>
      </w:r>
    </w:p>
    <w:p w:rsidR="00701153" w:rsidRDefault="00CC0EB7">
      <w:pPr>
        <w:ind w:firstLine="709"/>
        <w:jc w:val="both"/>
      </w:pPr>
      <w:r>
        <w:rPr>
          <w:color w:val="000000" w:themeColor="text1"/>
        </w:rPr>
        <w:t>В расчет принята стоимость по наименьшему коммерческому предложению ООО «Бизкомм».</w:t>
      </w:r>
    </w:p>
    <w:p w:rsidR="00701153" w:rsidRDefault="00701153">
      <w:pPr>
        <w:ind w:firstLine="709"/>
        <w:jc w:val="both"/>
      </w:pPr>
    </w:p>
    <w:p w:rsidR="00CC0EB7" w:rsidRDefault="00CC0EB7">
      <w:pPr>
        <w:ind w:firstLine="709"/>
        <w:jc w:val="both"/>
      </w:pPr>
    </w:p>
    <w:p w:rsidR="00701153" w:rsidRDefault="00CC0EB7">
      <w:pPr>
        <w:ind w:firstLine="709"/>
        <w:jc w:val="both"/>
      </w:pPr>
      <w:r>
        <w:t>С</w:t>
      </w:r>
      <w:r w:rsidR="005C58CF">
        <w:t>тоимость по проекту составила:</w:t>
      </w:r>
    </w:p>
    <w:tbl>
      <w:tblPr>
        <w:tblW w:w="9676" w:type="dxa"/>
        <w:tblInd w:w="108" w:type="dxa"/>
        <w:tblLook w:val="04A0" w:firstRow="1" w:lastRow="0" w:firstColumn="1" w:lastColumn="0" w:noHBand="0" w:noVBand="1"/>
      </w:tblPr>
      <w:tblGrid>
        <w:gridCol w:w="6190"/>
        <w:gridCol w:w="1777"/>
        <w:gridCol w:w="1709"/>
      </w:tblGrid>
      <w:tr w:rsidR="00701153">
        <w:trPr>
          <w:trHeight w:val="271"/>
        </w:trPr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153" w:rsidRDefault="005C58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77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1153" w:rsidRDefault="005C58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Тыс. руб. </w:t>
            </w:r>
          </w:p>
          <w:p w:rsidR="00701153" w:rsidRDefault="005C58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без НДС </w:t>
            </w:r>
          </w:p>
        </w:tc>
        <w:tc>
          <w:tcPr>
            <w:tcW w:w="1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1153" w:rsidRDefault="005C58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Тыс. руб.</w:t>
            </w:r>
          </w:p>
          <w:p w:rsidR="00701153" w:rsidRDefault="005C58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с НДС </w:t>
            </w:r>
          </w:p>
        </w:tc>
      </w:tr>
      <w:tr w:rsidR="00701153" w:rsidTr="005C58CF">
        <w:trPr>
          <w:trHeight w:val="160"/>
        </w:trPr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153" w:rsidRDefault="005C58CF">
            <w:pPr>
              <w:rPr>
                <w:bCs/>
              </w:rPr>
            </w:pPr>
            <w:r>
              <w:rPr>
                <w:bCs/>
              </w:rPr>
              <w:t>Серверное оборудование в ценах 2025 года</w:t>
            </w:r>
          </w:p>
        </w:tc>
        <w:tc>
          <w:tcPr>
            <w:tcW w:w="177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01153" w:rsidRDefault="007064D6">
            <w:pPr>
              <w:jc w:val="center"/>
              <w:rPr>
                <w:bCs/>
              </w:rPr>
            </w:pPr>
            <w:r>
              <w:rPr>
                <w:bCs/>
              </w:rPr>
              <w:t>20 558,87</w:t>
            </w:r>
          </w:p>
        </w:tc>
        <w:tc>
          <w:tcPr>
            <w:tcW w:w="1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701153" w:rsidRDefault="007064D6">
            <w:pPr>
              <w:jc w:val="center"/>
              <w:rPr>
                <w:bCs/>
              </w:rPr>
            </w:pPr>
            <w:r>
              <w:rPr>
                <w:bCs/>
              </w:rPr>
              <w:t>24 670,64</w:t>
            </w:r>
          </w:p>
        </w:tc>
      </w:tr>
      <w:tr w:rsidR="00701153">
        <w:trPr>
          <w:trHeight w:val="271"/>
        </w:trPr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153" w:rsidRDefault="005C58CF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77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1153" w:rsidRDefault="007064D6">
            <w:pPr>
              <w:jc w:val="center"/>
              <w:rPr>
                <w:b/>
              </w:rPr>
            </w:pPr>
            <w:r>
              <w:rPr>
                <w:b/>
              </w:rPr>
              <w:t>20 558,87</w:t>
            </w:r>
          </w:p>
        </w:tc>
        <w:tc>
          <w:tcPr>
            <w:tcW w:w="1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</w:tcPr>
          <w:p w:rsidR="00701153" w:rsidRDefault="007064D6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24 670,64</w:t>
            </w:r>
          </w:p>
        </w:tc>
      </w:tr>
    </w:tbl>
    <w:p w:rsidR="00701153" w:rsidRDefault="00701153">
      <w:pPr>
        <w:ind w:firstLine="709"/>
        <w:jc w:val="both"/>
      </w:pPr>
    </w:p>
    <w:p w:rsidR="00701153" w:rsidRDefault="005C58CF">
      <w:pPr>
        <w:ind w:firstLine="709"/>
        <w:jc w:val="both"/>
      </w:pPr>
      <w:r>
        <w:t>Сроки реализации инвестиционного проекта:</w:t>
      </w:r>
    </w:p>
    <w:p w:rsidR="00701153" w:rsidRDefault="005C58CF">
      <w:pPr>
        <w:numPr>
          <w:ilvl w:val="0"/>
          <w:numId w:val="2"/>
        </w:numPr>
        <w:jc w:val="both"/>
      </w:pPr>
      <w:r>
        <w:t xml:space="preserve">Апрель 2025 г.: </w:t>
      </w:r>
      <w:r w:rsidR="002533DC">
        <w:t>закупочн</w:t>
      </w:r>
      <w:r>
        <w:t>ая процедура, выбор поставщика;</w:t>
      </w:r>
    </w:p>
    <w:p w:rsidR="00701153" w:rsidRDefault="005C58CF">
      <w:pPr>
        <w:numPr>
          <w:ilvl w:val="0"/>
          <w:numId w:val="2"/>
        </w:numPr>
        <w:jc w:val="both"/>
      </w:pPr>
      <w:r>
        <w:t>Июль 2025 г.: заключение договора на поставку;</w:t>
      </w:r>
    </w:p>
    <w:p w:rsidR="00701153" w:rsidRDefault="004C0522">
      <w:pPr>
        <w:numPr>
          <w:ilvl w:val="0"/>
          <w:numId w:val="2"/>
        </w:numPr>
        <w:jc w:val="both"/>
      </w:pPr>
      <w:r>
        <w:t xml:space="preserve">Сентябрь </w:t>
      </w:r>
      <w:r w:rsidR="005C58CF">
        <w:t>2025 г.: поставка оборудования, ввод в эксплуатацию.</w:t>
      </w:r>
    </w:p>
    <w:p w:rsidR="00701153" w:rsidRDefault="004C0522">
      <w:pPr>
        <w:numPr>
          <w:ilvl w:val="0"/>
          <w:numId w:val="2"/>
        </w:numPr>
        <w:jc w:val="both"/>
      </w:pPr>
      <w:r>
        <w:t>Сентябрь</w:t>
      </w:r>
      <w:r w:rsidR="005C58CF">
        <w:t xml:space="preserve"> 2025 г.: оплата по договору (финансирование).</w:t>
      </w:r>
    </w:p>
    <w:p w:rsidR="00701153" w:rsidRDefault="00701153">
      <w:pPr>
        <w:spacing w:line="360" w:lineRule="auto"/>
        <w:ind w:left="927"/>
        <w:jc w:val="both"/>
      </w:pPr>
    </w:p>
    <w:p w:rsidR="00701153" w:rsidRDefault="005C58CF">
      <w:pPr>
        <w:spacing w:line="360" w:lineRule="auto"/>
        <w:ind w:firstLine="709"/>
        <w:jc w:val="both"/>
        <w:rPr>
          <w:b/>
        </w:rPr>
      </w:pPr>
      <w:r>
        <w:rPr>
          <w:b/>
        </w:rPr>
        <w:t>4.</w:t>
      </w:r>
      <w:r>
        <w:rPr>
          <w:b/>
        </w:rPr>
        <w:tab/>
        <w:t>РЕЗУЛЬТАТЫ РЕАЛИЗАЦИИ ИНВЕСТИЦИОННОГО ПРОЕКТА</w:t>
      </w:r>
    </w:p>
    <w:p w:rsidR="00701153" w:rsidRDefault="005C58CF">
      <w:pPr>
        <w:spacing w:line="276" w:lineRule="auto"/>
        <w:ind w:firstLine="709"/>
        <w:jc w:val="both"/>
      </w:pPr>
      <w:r>
        <w:t xml:space="preserve">Результатом реализации инвестиционного проекта станет замена серверов производителя </w:t>
      </w:r>
      <w:r>
        <w:rPr>
          <w:lang w:val="en-US"/>
        </w:rPr>
        <w:t>HP</w:t>
      </w:r>
      <w:r>
        <w:t>, который прекратил свою бизнес деятельность на территории РФ и перестал оказывать услуги по технической поддержке, а также ремонту серверного оборудование, на серверное оборудование дружественных брендов, либо отечественных аналогов, с полным циклом технической под</w:t>
      </w:r>
      <w:bookmarkStart w:id="1" w:name="_GoBack"/>
      <w:bookmarkEnd w:id="1"/>
      <w:r>
        <w:t>держки. Использование в продуктивной среде сетевого, серверного и оборудования Систем Хранения Данных (СХД), находящееся на поддержке от поставщика, или производителя, что снижает риски выхода из строя компонентов оборудования и возможной приостановки бизнес деятельности компании на время ремонта.</w:t>
      </w:r>
    </w:p>
    <w:p w:rsidR="00701153" w:rsidRDefault="00701153">
      <w:pPr>
        <w:spacing w:line="360" w:lineRule="auto"/>
        <w:ind w:firstLine="709"/>
        <w:jc w:val="both"/>
      </w:pPr>
    </w:p>
    <w:p w:rsidR="00701153" w:rsidRDefault="005C58CF">
      <w:pPr>
        <w:pStyle w:val="af1"/>
        <w:numPr>
          <w:ilvl w:val="0"/>
          <w:numId w:val="5"/>
        </w:numPr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ОТВЕТСТВЕННЫЕ ЛИЦА ИНВЕСТИЦИОННОГО ПРОЕКТА</w:t>
      </w:r>
    </w:p>
    <w:p w:rsidR="00701153" w:rsidRDefault="005C58CF">
      <w:pPr>
        <w:pStyle w:val="af1"/>
        <w:numPr>
          <w:ilvl w:val="0"/>
          <w:numId w:val="3"/>
        </w:numPr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ответственный за инвестиционную деятельность АО «Томскэнергосбыт»: Забарова Юлия Владимировна, руководитель направления по инвестиционной политики, (3822) 48-48-88, </w:t>
      </w:r>
      <w:hyperlink r:id="rId12" w:tooltip="mailto:terpelova_yv@ensb.tomsk.ru" w:history="1">
        <w:r>
          <w:rPr>
            <w:rStyle w:val="af8"/>
            <w:rFonts w:ascii="Times New Roman" w:eastAsia="Times New Roman" w:hAnsi="Times New Roman"/>
            <w:sz w:val="24"/>
            <w:szCs w:val="24"/>
            <w:lang w:val="en-US" w:eastAsia="ru-RU"/>
          </w:rPr>
          <w:t>terpelova</w:t>
        </w:r>
        <w:r>
          <w:rPr>
            <w:rStyle w:val="af8"/>
            <w:rFonts w:ascii="Times New Roman" w:eastAsia="Times New Roman" w:hAnsi="Times New Roman"/>
            <w:sz w:val="24"/>
            <w:szCs w:val="24"/>
            <w:lang w:eastAsia="ru-RU"/>
          </w:rPr>
          <w:t>_</w:t>
        </w:r>
        <w:r>
          <w:rPr>
            <w:rStyle w:val="af8"/>
            <w:rFonts w:ascii="Times New Roman" w:eastAsia="Times New Roman" w:hAnsi="Times New Roman"/>
            <w:sz w:val="24"/>
            <w:szCs w:val="24"/>
            <w:lang w:val="en-US" w:eastAsia="ru-RU"/>
          </w:rPr>
          <w:t>yv</w:t>
        </w:r>
        <w:r>
          <w:rPr>
            <w:rStyle w:val="af8"/>
            <w:rFonts w:ascii="Times New Roman" w:eastAsia="Times New Roman" w:hAnsi="Times New Roman"/>
            <w:sz w:val="24"/>
            <w:szCs w:val="24"/>
            <w:lang w:eastAsia="ru-RU"/>
          </w:rPr>
          <w:t>@ensb.tomsk.ru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01153" w:rsidRDefault="005C58CF">
      <w:pPr>
        <w:pStyle w:val="af1"/>
        <w:numPr>
          <w:ilvl w:val="0"/>
          <w:numId w:val="3"/>
        </w:numPr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ответственное лицо по инвестиционному проекту: Плешаков Евгений Валерьевич, заместитель генерального директора – начальник управления по ИТ, (3822) 70-58-76, </w:t>
      </w:r>
      <w:hyperlink r:id="rId13" w:tooltip="mailto:pleshakov_ev@ensb.tomsk.ru" w:history="1">
        <w:r>
          <w:rPr>
            <w:rStyle w:val="af8"/>
            <w:rFonts w:ascii="Times New Roman" w:eastAsia="Times New Roman" w:hAnsi="Times New Roman"/>
            <w:sz w:val="24"/>
            <w:szCs w:val="24"/>
            <w:lang w:eastAsia="ru-RU"/>
          </w:rPr>
          <w:t>pleshakov_ev@ensb.tomsk.ru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01153" w:rsidRDefault="005C58CF">
      <w:pPr>
        <w:pStyle w:val="af1"/>
        <w:numPr>
          <w:ilvl w:val="0"/>
          <w:numId w:val="3"/>
        </w:numPr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инициатор инвестиционного проекта: Исаев Никита Алексеевич, Руководитель направления поддержки систем связи и вычислительной инфраструктуры, (3822) 48-49-15, </w:t>
      </w:r>
      <w:hyperlink r:id="rId14" w:tooltip="mailto:semenov_avas@ensb.tomsk.ru" w:history="1">
        <w:r>
          <w:rPr>
            <w:rStyle w:val="af8"/>
            <w:rFonts w:ascii="Times New Roman" w:eastAsia="Times New Roman" w:hAnsi="Times New Roman"/>
            <w:sz w:val="24"/>
            <w:szCs w:val="24"/>
            <w:lang w:eastAsia="ru-RU"/>
          </w:rPr>
          <w:t>isaev_na@tomskenergosbyt.ru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01153" w:rsidRDefault="00701153">
      <w:pPr>
        <w:spacing w:line="276" w:lineRule="auto"/>
        <w:ind w:left="1134"/>
        <w:rPr>
          <w:b/>
        </w:rPr>
      </w:pPr>
    </w:p>
    <w:p w:rsidR="00701153" w:rsidRDefault="005C58CF">
      <w:pPr>
        <w:tabs>
          <w:tab w:val="left" w:pos="7560"/>
        </w:tabs>
      </w:pPr>
      <w:r>
        <w:t>Заместитель генерального директор</w:t>
      </w:r>
    </w:p>
    <w:p w:rsidR="00701153" w:rsidRDefault="005C58CF">
      <w:pPr>
        <w:tabs>
          <w:tab w:val="left" w:pos="7560"/>
        </w:tabs>
      </w:pPr>
      <w:r>
        <w:t xml:space="preserve">по экономике и финансам </w:t>
      </w:r>
      <w:r>
        <w:tab/>
        <w:t xml:space="preserve">     С.В. Алибекова</w:t>
      </w:r>
    </w:p>
    <w:p w:rsidR="00701153" w:rsidRDefault="00701153">
      <w:pPr>
        <w:tabs>
          <w:tab w:val="left" w:pos="7560"/>
        </w:tabs>
      </w:pPr>
    </w:p>
    <w:p w:rsidR="00701153" w:rsidRDefault="00701153"/>
    <w:p w:rsidR="00701153" w:rsidRDefault="005C58CF">
      <w:pPr>
        <w:tabs>
          <w:tab w:val="left" w:pos="7560"/>
        </w:tabs>
      </w:pPr>
      <w:r>
        <w:t xml:space="preserve">Заместитель генерального директора </w:t>
      </w:r>
    </w:p>
    <w:p w:rsidR="00701153" w:rsidRDefault="005C58CF">
      <w:pPr>
        <w:tabs>
          <w:tab w:val="left" w:pos="7655"/>
          <w:tab w:val="left" w:pos="7938"/>
        </w:tabs>
      </w:pPr>
      <w:r>
        <w:t>по реализации электроэнергии                                                                                 А.В. Булгаков</w:t>
      </w:r>
    </w:p>
    <w:p w:rsidR="00701153" w:rsidRDefault="00701153">
      <w:pPr>
        <w:tabs>
          <w:tab w:val="left" w:pos="7560"/>
        </w:tabs>
      </w:pPr>
    </w:p>
    <w:p w:rsidR="00701153" w:rsidRDefault="00701153">
      <w:pPr>
        <w:tabs>
          <w:tab w:val="left" w:pos="7560"/>
        </w:tabs>
      </w:pPr>
    </w:p>
    <w:p w:rsidR="00701153" w:rsidRDefault="005C58CF">
      <w:pPr>
        <w:tabs>
          <w:tab w:val="left" w:pos="7560"/>
        </w:tabs>
      </w:pPr>
      <w:r>
        <w:t>Заместитель генерального директора -</w:t>
      </w:r>
    </w:p>
    <w:p w:rsidR="00701153" w:rsidRDefault="005C58CF">
      <w:pPr>
        <w:tabs>
          <w:tab w:val="left" w:pos="7560"/>
        </w:tabs>
      </w:pPr>
      <w:r>
        <w:t xml:space="preserve">начальник управления по ИТ                                                                     </w:t>
      </w:r>
      <w:r>
        <w:tab/>
      </w:r>
      <w:r>
        <w:tab/>
        <w:t xml:space="preserve">   Е.В. Плешаков</w:t>
      </w:r>
    </w:p>
    <w:p w:rsidR="00701153" w:rsidRDefault="00701153">
      <w:pPr>
        <w:spacing w:line="276" w:lineRule="auto"/>
        <w:jc w:val="both"/>
      </w:pPr>
    </w:p>
    <w:sectPr w:rsidR="00701153">
      <w:type w:val="continuous"/>
      <w:pgSz w:w="11907" w:h="16840"/>
      <w:pgMar w:top="851" w:right="992" w:bottom="1135" w:left="851" w:header="720" w:footer="386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153" w:rsidRDefault="005C58CF">
      <w:r>
        <w:separator/>
      </w:r>
    </w:p>
  </w:endnote>
  <w:endnote w:type="continuationSeparator" w:id="0">
    <w:p w:rsidR="00701153" w:rsidRDefault="005C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erox Sans Light"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153" w:rsidRDefault="005C58CF">
      <w:r>
        <w:separator/>
      </w:r>
    </w:p>
  </w:footnote>
  <w:footnote w:type="continuationSeparator" w:id="0">
    <w:p w:rsidR="00701153" w:rsidRDefault="005C5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032FB"/>
    <w:multiLevelType w:val="multilevel"/>
    <w:tmpl w:val="51742A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5D0543D0"/>
    <w:multiLevelType w:val="multilevel"/>
    <w:tmpl w:val="968E692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6529256F"/>
    <w:multiLevelType w:val="hybridMultilevel"/>
    <w:tmpl w:val="B47A3426"/>
    <w:lvl w:ilvl="0" w:tplc="E4AC5A3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4882110C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634858F4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EFB21AA8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F2C8860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E3C1136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B722366A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E006E3CE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DB2A86A0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67BD7921"/>
    <w:multiLevelType w:val="hybridMultilevel"/>
    <w:tmpl w:val="90EE764E"/>
    <w:lvl w:ilvl="0" w:tplc="207EE480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C512DEB8">
      <w:start w:val="1"/>
      <w:numFmt w:val="lowerLetter"/>
      <w:lvlText w:val="%2."/>
      <w:lvlJc w:val="left"/>
      <w:pPr>
        <w:ind w:left="2007" w:hanging="360"/>
      </w:pPr>
    </w:lvl>
    <w:lvl w:ilvl="2" w:tplc="D412327E">
      <w:start w:val="1"/>
      <w:numFmt w:val="lowerRoman"/>
      <w:lvlText w:val="%3."/>
      <w:lvlJc w:val="right"/>
      <w:pPr>
        <w:ind w:left="2727" w:hanging="180"/>
      </w:pPr>
    </w:lvl>
    <w:lvl w:ilvl="3" w:tplc="85AA4ACA">
      <w:start w:val="1"/>
      <w:numFmt w:val="decimal"/>
      <w:lvlText w:val="%4."/>
      <w:lvlJc w:val="left"/>
      <w:pPr>
        <w:ind w:left="3447" w:hanging="360"/>
      </w:pPr>
    </w:lvl>
    <w:lvl w:ilvl="4" w:tplc="B2E47254">
      <w:start w:val="1"/>
      <w:numFmt w:val="lowerLetter"/>
      <w:lvlText w:val="%5."/>
      <w:lvlJc w:val="left"/>
      <w:pPr>
        <w:ind w:left="4167" w:hanging="360"/>
      </w:pPr>
    </w:lvl>
    <w:lvl w:ilvl="5" w:tplc="898C2B9A">
      <w:start w:val="1"/>
      <w:numFmt w:val="lowerRoman"/>
      <w:lvlText w:val="%6."/>
      <w:lvlJc w:val="right"/>
      <w:pPr>
        <w:ind w:left="4887" w:hanging="180"/>
      </w:pPr>
    </w:lvl>
    <w:lvl w:ilvl="6" w:tplc="3CBC4522">
      <w:start w:val="1"/>
      <w:numFmt w:val="decimal"/>
      <w:lvlText w:val="%7."/>
      <w:lvlJc w:val="left"/>
      <w:pPr>
        <w:ind w:left="5607" w:hanging="360"/>
      </w:pPr>
    </w:lvl>
    <w:lvl w:ilvl="7" w:tplc="B4F47AC2">
      <w:start w:val="1"/>
      <w:numFmt w:val="lowerLetter"/>
      <w:lvlText w:val="%8."/>
      <w:lvlJc w:val="left"/>
      <w:pPr>
        <w:ind w:left="6327" w:hanging="360"/>
      </w:pPr>
    </w:lvl>
    <w:lvl w:ilvl="8" w:tplc="F26A8850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0E95970"/>
    <w:multiLevelType w:val="hybridMultilevel"/>
    <w:tmpl w:val="ED42AD92"/>
    <w:lvl w:ilvl="0" w:tplc="24E25BB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9F24C21A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D4FC508C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9A681920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5AFE492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70A4CD28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D94FCF0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4FFCF77A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A920C7E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53"/>
    <w:rsid w:val="00246FCA"/>
    <w:rsid w:val="002533DC"/>
    <w:rsid w:val="004A3EB5"/>
    <w:rsid w:val="004C0522"/>
    <w:rsid w:val="005C58CF"/>
    <w:rsid w:val="006F0C86"/>
    <w:rsid w:val="00701153"/>
    <w:rsid w:val="007064D6"/>
    <w:rsid w:val="00CC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B4A00"/>
  <w15:docId w15:val="{704E9E33-F931-47F6-A908-E376F2E9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link w:val="11"/>
    <w:qFormat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666666"/>
    </w:rPr>
  </w:style>
  <w:style w:type="paragraph" w:styleId="20">
    <w:name w:val="heading 2"/>
    <w:basedOn w:val="a"/>
    <w:next w:val="a"/>
    <w:link w:val="2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0">
    <w:name w:val="heading 4"/>
    <w:basedOn w:val="a"/>
    <w:next w:val="a"/>
    <w:link w:val="41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0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"/>
    <w:basedOn w:val="a0"/>
    <w:link w:val="4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paragraph" w:styleId="af">
    <w:name w:val="Body Text Indent"/>
    <w:basedOn w:val="a"/>
    <w:link w:val="af0"/>
    <w:pPr>
      <w:ind w:firstLine="709"/>
      <w:jc w:val="both"/>
    </w:pPr>
    <w:rPr>
      <w:color w:val="FF0000"/>
    </w:rPr>
  </w:style>
  <w:style w:type="paragraph" w:styleId="26">
    <w:name w:val="Body Text Indent 2"/>
    <w:basedOn w:val="a"/>
    <w:pPr>
      <w:spacing w:line="360" w:lineRule="auto"/>
      <w:ind w:left="360"/>
    </w:pPr>
  </w:style>
  <w:style w:type="paragraph" w:styleId="af1">
    <w:name w:val="List Paragraph"/>
    <w:basedOn w:val="a"/>
    <w:link w:val="af2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"/>
    <w:link w:val="20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f3">
    <w:name w:val="Обычный + полужирный"/>
    <w:basedOn w:val="a"/>
    <w:uiPriority w:val="99"/>
    <w:pPr>
      <w:jc w:val="both"/>
    </w:pPr>
    <w:rPr>
      <w:b/>
      <w:bCs/>
    </w:rPr>
  </w:style>
  <w:style w:type="character" w:customStyle="1" w:styleId="50">
    <w:name w:val="Заголовок 5 Знак"/>
    <w:link w:val="5"/>
    <w:uiPriority w:val="9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hitePaperTitle">
    <w:name w:val="White Paper Title"/>
    <w:basedOn w:val="a"/>
    <w:uiPriority w:val="99"/>
    <w:rPr>
      <w:rFonts w:ascii="Xerox Sans Light" w:hAnsi="Xerox Sans Light" w:cs="Xerox Sans Light"/>
      <w:color w:val="7053AA"/>
      <w:sz w:val="70"/>
      <w:szCs w:val="70"/>
      <w:lang w:val="en-GB" w:eastAsia="en-GB"/>
    </w:rPr>
  </w:style>
  <w:style w:type="character" w:customStyle="1" w:styleId="bold">
    <w:name w:val="bold"/>
  </w:style>
  <w:style w:type="character" w:customStyle="1" w:styleId="bold2">
    <w:name w:val="bold2"/>
    <w:rPr>
      <w:b/>
      <w:bCs/>
    </w:rPr>
  </w:style>
  <w:style w:type="character" w:styleId="af4">
    <w:name w:val="Strong"/>
    <w:uiPriority w:val="22"/>
    <w:qFormat/>
    <w:rPr>
      <w:b/>
      <w:bCs/>
    </w:rPr>
  </w:style>
  <w:style w:type="paragraph" w:styleId="af5">
    <w:name w:val="Balloon Text"/>
    <w:basedOn w:val="a"/>
    <w:link w:val="af6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Pr>
      <w:rFonts w:ascii="Tahoma" w:hAnsi="Tahoma" w:cs="Tahoma"/>
      <w:sz w:val="16"/>
      <w:szCs w:val="16"/>
    </w:rPr>
  </w:style>
  <w:style w:type="paragraph" w:customStyle="1" w:styleId="af7">
    <w:name w:val="Обычный абзац"/>
    <w:basedOn w:val="a"/>
    <w:qFormat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f8">
    <w:name w:val="Hyperlink"/>
    <w:uiPriority w:val="99"/>
    <w:unhideWhenUsed/>
    <w:rPr>
      <w:color w:val="1C81B7"/>
      <w:u w:val="single"/>
    </w:rPr>
  </w:style>
  <w:style w:type="character" w:customStyle="1" w:styleId="dfaq1">
    <w:name w:val="dfaq1"/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a">
    <w:name w:val="Emphasis"/>
    <w:qFormat/>
    <w:rPr>
      <w:i/>
      <w:iCs/>
    </w:rPr>
  </w:style>
  <w:style w:type="character" w:customStyle="1" w:styleId="af0">
    <w:name w:val="Основной текст с отступом Знак"/>
    <w:link w:val="af"/>
    <w:rPr>
      <w:color w:val="FF0000"/>
      <w:sz w:val="24"/>
      <w:szCs w:val="24"/>
    </w:rPr>
  </w:style>
  <w:style w:type="table" w:styleId="af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головок 1 Знак"/>
    <w:link w:val="10"/>
    <w:rPr>
      <w:rFonts w:ascii="Arial" w:hAnsi="Arial" w:cs="Arial"/>
      <w:b/>
      <w:bCs/>
      <w:color w:val="666666"/>
      <w:sz w:val="24"/>
      <w:szCs w:val="24"/>
    </w:rPr>
  </w:style>
  <w:style w:type="character" w:customStyle="1" w:styleId="af2">
    <w:name w:val="Абзац списка Знак"/>
    <w:link w:val="af1"/>
    <w:uiPriority w:val="34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_ИРАО Заголовок 1"/>
    <w:basedOn w:val="a"/>
    <w:next w:val="a"/>
    <w:pPr>
      <w:numPr>
        <w:numId w:val="1"/>
      </w:numPr>
      <w:spacing w:before="240" w:after="240"/>
      <w:jc w:val="both"/>
    </w:pPr>
    <w:rPr>
      <w:rFonts w:ascii="Arial" w:hAnsi="Arial"/>
      <w:b/>
      <w:color w:val="00000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pPr>
      <w:numPr>
        <w:ilvl w:val="1"/>
        <w:numId w:val="1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3">
    <w:name w:val="_ИРАО Заголовок 3"/>
    <w:basedOn w:val="a"/>
    <w:next w:val="a"/>
    <w:qFormat/>
    <w:pPr>
      <w:numPr>
        <w:ilvl w:val="2"/>
        <w:numId w:val="1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pPr>
      <w:numPr>
        <w:ilvl w:val="3"/>
        <w:numId w:val="1"/>
      </w:numPr>
      <w:shd w:val="clear" w:color="auto" w:fill="FFFFFF"/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styleId="afc">
    <w:name w:val="footnote text"/>
    <w:basedOn w:val="a"/>
    <w:link w:val="afd"/>
    <w:rPr>
      <w:sz w:val="20"/>
      <w:szCs w:val="20"/>
    </w:rPr>
  </w:style>
  <w:style w:type="character" w:customStyle="1" w:styleId="afd">
    <w:name w:val="Текст сноски Знак"/>
    <w:basedOn w:val="a0"/>
    <w:link w:val="afc"/>
  </w:style>
  <w:style w:type="character" w:styleId="afe">
    <w:name w:val="footnote reference"/>
    <w:rPr>
      <w:vertAlign w:val="superscript"/>
    </w:rPr>
  </w:style>
  <w:style w:type="paragraph" w:customStyle="1" w:styleId="Default">
    <w:name w:val="Default"/>
    <w:rPr>
      <w:rFonts w:ascii="Arial" w:hAnsi="Arial" w:cs="Arial"/>
      <w:color w:val="000000"/>
      <w:sz w:val="24"/>
      <w:szCs w:val="24"/>
    </w:rPr>
  </w:style>
  <w:style w:type="paragraph" w:styleId="aff">
    <w:name w:val="header"/>
    <w:basedOn w:val="a"/>
    <w:link w:val="aff0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rPr>
      <w:sz w:val="24"/>
      <w:szCs w:val="24"/>
    </w:rPr>
  </w:style>
  <w:style w:type="paragraph" w:styleId="aff1">
    <w:name w:val="footer"/>
    <w:basedOn w:val="a"/>
    <w:link w:val="aff2"/>
    <w:uiPriority w:val="99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Pr>
      <w:sz w:val="24"/>
      <w:szCs w:val="24"/>
    </w:rPr>
  </w:style>
  <w:style w:type="character" w:styleId="aff3">
    <w:name w:val="annotation reference"/>
    <w:basedOn w:val="a0"/>
    <w:semiHidden/>
    <w:unhideWhenUsed/>
    <w:rPr>
      <w:sz w:val="16"/>
      <w:szCs w:val="16"/>
    </w:rPr>
  </w:style>
  <w:style w:type="paragraph" w:styleId="aff4">
    <w:name w:val="annotation text"/>
    <w:basedOn w:val="a"/>
    <w:link w:val="aff5"/>
    <w:semiHidden/>
    <w:unhideWhenUsed/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semiHidden/>
  </w:style>
  <w:style w:type="paragraph" w:styleId="aff6">
    <w:name w:val="annotation subject"/>
    <w:basedOn w:val="aff4"/>
    <w:next w:val="aff4"/>
    <w:link w:val="aff7"/>
    <w:semiHidden/>
    <w:unhideWhenUsed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Pr>
      <w:b/>
      <w:bCs/>
    </w:rPr>
  </w:style>
  <w:style w:type="paragraph" w:styleId="aff8">
    <w:name w:val="No Spacing"/>
    <w:uiPriority w:val="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1.%20&#1054;_1%20&#1056;&#1072;&#1089;&#1095;&#1077;&#1090;%20&#1089;&#1090;&#1086;&#1080;&#1084;&#1086;&#1089;&#1090;&#1080;.xlsx" TargetMode="External"/><Relationship Id="rId13" Type="http://schemas.openxmlformats.org/officeDocument/2006/relationships/hyperlink" Target="mailto:pleshakov_ev@ensb.tom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erpelova_yv@ensb.tomsk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2.%20&#1050;&#1086;&#1084;&#1084;&#1077;&#1088;&#1095;&#1077;&#1089;&#1082;&#1080;&#1077;%20&#1087;&#1088;&#1077;&#1076;&#1083;&#1086;&#1078;&#1077;&#1085;&#1080;&#1103;/2.2.3.%20O_1%20&#1050;&#1055;_&#1040;&#1081;-&#1058;&#1080;_&#1041;&#1043;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2.%20&#1050;&#1086;&#1084;&#1084;&#1077;&#1088;&#1095;&#1077;&#1089;&#1082;&#1080;&#1077;%20&#1087;&#1088;&#1077;&#1076;&#1083;&#1086;&#1078;&#1077;&#1085;&#1080;&#1103;/2.2.2.%20O_1%20&#1050;&#1055;_&#1057;&#1080;&#1089;&#1090;&#1077;&#1084;_&#1043;&#1088;&#1091;&#1087;&#1087;.pdf" TargetMode="External"/><Relationship Id="rId4" Type="http://schemas.openxmlformats.org/officeDocument/2006/relationships/settings" Target="settings.xml"/><Relationship Id="rId9" Type="http://schemas.openxmlformats.org/officeDocument/2006/relationships/hyperlink" Target="../2.%20&#1056;&#1072;&#1089;&#1095;&#1077;&#1090;%20&#1086;&#1073;&#1098;&#1077;&#1084;&#1072;%20&#1092;&#1080;&#1085;&#1072;&#1085;&#1089;&#1086;&#1074;&#1086;&#1081;%20&#1087;&#1086;&#1090;&#1088;&#1077;&#1073;&#1085;&#1086;&#1089;&#1090;&#1080;/2.2.%20&#1050;&#1086;&#1084;&#1084;&#1077;&#1088;&#1095;&#1077;&#1089;&#1082;&#1080;&#1077;%20&#1087;&#1088;&#1077;&#1076;&#1083;&#1086;&#1078;&#1077;&#1085;&#1080;&#1103;/2.2.1.%20O_1%20&#1050;&#1055;_&#1041;&#1080;&#1079;&#1082;&#1086;&#1084;&#1084;.pdf" TargetMode="External"/><Relationship Id="rId14" Type="http://schemas.openxmlformats.org/officeDocument/2006/relationships/hyperlink" Target="mailto:semenov_avas@ensb.tom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623C9-3235-4313-9248-A12F5F177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776</Words>
  <Characters>4426</Characters>
  <Application>Microsoft Office Word</Application>
  <DocSecurity>0</DocSecurity>
  <Lines>36</Lines>
  <Paragraphs>10</Paragraphs>
  <ScaleCrop>false</ScaleCrop>
  <Company>NNNOrg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kolbyagina</dc:creator>
  <cp:lastModifiedBy>Батманова Мария Николаевна</cp:lastModifiedBy>
  <cp:revision>9</cp:revision>
  <dcterms:created xsi:type="dcterms:W3CDTF">2025-04-07T04:43:00Z</dcterms:created>
  <dcterms:modified xsi:type="dcterms:W3CDTF">2025-04-08T06:34:00Z</dcterms:modified>
</cp:coreProperties>
</file>