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10C38" w14:textId="77777777" w:rsidR="00406342" w:rsidRPr="00FB406E" w:rsidRDefault="00406342" w:rsidP="00FB406E"/>
    <w:p w14:paraId="0D586CF8" w14:textId="77777777" w:rsidR="00FB406E" w:rsidRPr="00FB406E" w:rsidRDefault="00FB406E" w:rsidP="00FB406E"/>
    <w:p w14:paraId="145926E9" w14:textId="77777777" w:rsidR="00FB406E" w:rsidRPr="00FB406E" w:rsidRDefault="00FB406E" w:rsidP="00FB406E"/>
    <w:p w14:paraId="3B3670B1" w14:textId="77777777" w:rsidR="00FB406E" w:rsidRPr="00FB406E" w:rsidRDefault="00FB406E" w:rsidP="00FB406E"/>
    <w:p w14:paraId="328E0B0C" w14:textId="77777777" w:rsidR="00FB406E" w:rsidRPr="00FB406E" w:rsidRDefault="00FB406E" w:rsidP="00FB406E"/>
    <w:p w14:paraId="0E4A8F8C" w14:textId="77777777" w:rsidR="00FB406E" w:rsidRPr="00FB406E" w:rsidRDefault="00FB406E" w:rsidP="00FB406E"/>
    <w:p w14:paraId="5D71AC93" w14:textId="77777777" w:rsidR="00FB406E" w:rsidRPr="00FB406E" w:rsidRDefault="00FB406E" w:rsidP="00FB406E"/>
    <w:p w14:paraId="6CF65E83" w14:textId="77777777" w:rsidR="00FB406E" w:rsidRPr="00FB406E" w:rsidRDefault="00FB406E" w:rsidP="00FB406E"/>
    <w:p w14:paraId="4294C2FF" w14:textId="77777777" w:rsidR="00FB406E" w:rsidRPr="00FB406E" w:rsidRDefault="00FB406E" w:rsidP="00FB406E"/>
    <w:p w14:paraId="600990C5" w14:textId="77777777" w:rsidR="00FB406E" w:rsidRPr="00FB406E" w:rsidRDefault="00FB406E" w:rsidP="00FB406E"/>
    <w:p w14:paraId="6A03B120" w14:textId="77777777" w:rsidR="00FB406E" w:rsidRPr="00FB406E" w:rsidRDefault="00FB406E" w:rsidP="00FB406E"/>
    <w:p w14:paraId="2AAF177B" w14:textId="77777777" w:rsidR="00FB406E" w:rsidRPr="00FB406E" w:rsidRDefault="00FB406E" w:rsidP="00FB406E"/>
    <w:p w14:paraId="1A249105" w14:textId="77777777" w:rsidR="00FB406E" w:rsidRPr="00FB406E" w:rsidRDefault="00FB406E" w:rsidP="00FB406E"/>
    <w:p w14:paraId="07DC1D4C" w14:textId="77777777" w:rsidR="00FB406E" w:rsidRPr="00FB406E" w:rsidRDefault="00FB406E" w:rsidP="00FB406E"/>
    <w:p w14:paraId="225CB418" w14:textId="77777777" w:rsidR="00FB406E" w:rsidRPr="00FB406E" w:rsidRDefault="00FB406E" w:rsidP="00FB406E"/>
    <w:p w14:paraId="5975BB22" w14:textId="77777777" w:rsidR="00FB406E" w:rsidRPr="00FB406E" w:rsidRDefault="00FB406E" w:rsidP="00FB406E"/>
    <w:p w14:paraId="1498ECF5" w14:textId="77777777" w:rsidR="00FB406E" w:rsidRPr="00FB406E" w:rsidRDefault="00FB406E" w:rsidP="00FB406E"/>
    <w:p w14:paraId="49C7322B" w14:textId="77777777" w:rsidR="00FB406E" w:rsidRPr="00FB406E" w:rsidRDefault="009E35A6" w:rsidP="00FB406E">
      <w:pPr>
        <w:jc w:val="center"/>
        <w:rPr>
          <w:b/>
        </w:rPr>
      </w:pPr>
      <w:r>
        <w:rPr>
          <w:b/>
        </w:rPr>
        <w:t xml:space="preserve">ПАСПОРТ </w:t>
      </w:r>
      <w:r w:rsidR="00FB406E" w:rsidRPr="00FB406E">
        <w:rPr>
          <w:b/>
        </w:rPr>
        <w:t>ИНВЕСТИЦИОНН</w:t>
      </w:r>
      <w:r>
        <w:rPr>
          <w:b/>
        </w:rPr>
        <w:t>ОГО</w:t>
      </w:r>
      <w:r w:rsidR="00FB406E" w:rsidRPr="00FB406E">
        <w:rPr>
          <w:b/>
        </w:rPr>
        <w:t xml:space="preserve"> ПРОЕКТ</w:t>
      </w:r>
      <w:r>
        <w:rPr>
          <w:b/>
        </w:rPr>
        <w:t>А</w:t>
      </w:r>
    </w:p>
    <w:p w14:paraId="79DC7A2D" w14:textId="5DA09716" w:rsidR="00FB406E" w:rsidRPr="00FB406E" w:rsidRDefault="00406342" w:rsidP="00FB406E">
      <w:pPr>
        <w:jc w:val="center"/>
        <w:rPr>
          <w:b/>
        </w:rPr>
      </w:pPr>
      <w:r>
        <w:rPr>
          <w:b/>
        </w:rPr>
        <w:t>ОО</w:t>
      </w:r>
      <w:r w:rsidR="00FB406E" w:rsidRPr="00FB406E">
        <w:rPr>
          <w:b/>
        </w:rPr>
        <w:t>О «</w:t>
      </w:r>
      <w:r>
        <w:rPr>
          <w:b/>
        </w:rPr>
        <w:t>Электросети</w:t>
      </w:r>
      <w:r w:rsidR="00FB406E" w:rsidRPr="00FB406E">
        <w:rPr>
          <w:b/>
        </w:rPr>
        <w:t xml:space="preserve">» </w:t>
      </w:r>
    </w:p>
    <w:p w14:paraId="1A481965" w14:textId="4051B1B6" w:rsidR="00FB406E" w:rsidRPr="001E5DA1" w:rsidRDefault="00FB406E" w:rsidP="00FB406E">
      <w:pPr>
        <w:spacing w:line="360" w:lineRule="auto"/>
        <w:jc w:val="center"/>
        <w:rPr>
          <w:b/>
        </w:rPr>
      </w:pPr>
      <w:r w:rsidRPr="009133A8">
        <w:rPr>
          <w:b/>
        </w:rPr>
        <w:t>«</w:t>
      </w:r>
      <w:r w:rsidR="00BD4E38">
        <w:rPr>
          <w:b/>
        </w:rPr>
        <w:t>Создание системы информационно-технической безопасности</w:t>
      </w:r>
      <w:r w:rsidR="001E5DA1">
        <w:rPr>
          <w:b/>
        </w:rPr>
        <w:t>»</w:t>
      </w:r>
    </w:p>
    <w:p w14:paraId="5B02F3B5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B4C538D" w14:textId="59C15AAC" w:rsidR="00FB406E" w:rsidRPr="00DD7FC9" w:rsidRDefault="00B85524" w:rsidP="00B85524">
      <w:pPr>
        <w:spacing w:line="276" w:lineRule="auto"/>
        <w:ind w:firstLine="567"/>
        <w:jc w:val="center"/>
      </w:pPr>
      <w:r w:rsidRPr="00B85524">
        <w:t xml:space="preserve">Идентификатор инвестиционного проекта: </w:t>
      </w:r>
      <w:r w:rsidR="007B2584">
        <w:rPr>
          <w:lang w:val="en-US"/>
        </w:rPr>
        <w:t>P</w:t>
      </w:r>
      <w:r w:rsidR="00A35414">
        <w:t>_</w:t>
      </w:r>
      <w:r w:rsidR="0067777A">
        <w:t>00</w:t>
      </w:r>
      <w:r w:rsidR="0067777A" w:rsidRPr="00DD7FC9">
        <w:t>1</w:t>
      </w:r>
    </w:p>
    <w:p w14:paraId="5A2E18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562228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0D481DF" w14:textId="77777777" w:rsidR="00FB406E" w:rsidRPr="00FB406E" w:rsidRDefault="00FB406E" w:rsidP="00FB406E">
      <w:pPr>
        <w:ind w:firstLine="567"/>
        <w:rPr>
          <w:b/>
        </w:rPr>
      </w:pPr>
    </w:p>
    <w:p w14:paraId="43870B2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2EC3810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D3ABE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9E476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6026BED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975332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03907B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6EA8E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F6D01C9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3EA4812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DDBC263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2BD46BA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24F23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151F69" w14:textId="77777777" w:rsidR="00FB406E" w:rsidRDefault="00FB406E" w:rsidP="00FB406E">
      <w:pPr>
        <w:spacing w:line="276" w:lineRule="auto"/>
        <w:ind w:firstLine="567"/>
        <w:rPr>
          <w:b/>
        </w:rPr>
      </w:pPr>
    </w:p>
    <w:p w14:paraId="215FEFCC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787F3A26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03B3C1E8" w14:textId="77777777" w:rsidR="00693587" w:rsidRDefault="00693587" w:rsidP="00FB406E">
      <w:pPr>
        <w:spacing w:line="276" w:lineRule="auto"/>
        <w:ind w:firstLine="567"/>
        <w:rPr>
          <w:b/>
        </w:rPr>
      </w:pPr>
    </w:p>
    <w:p w14:paraId="43E6CA3A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07E8E7AB" w14:textId="77777777" w:rsidR="00256F4E" w:rsidRPr="00FB406E" w:rsidRDefault="00256F4E" w:rsidP="00FB406E">
      <w:pPr>
        <w:spacing w:line="276" w:lineRule="auto"/>
        <w:ind w:firstLine="567"/>
        <w:rPr>
          <w:b/>
        </w:rPr>
      </w:pPr>
    </w:p>
    <w:p w14:paraId="5262EAE4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7DA0E7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3699258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4200CC4" w14:textId="77777777" w:rsidR="00FB406E" w:rsidRPr="00294E3A" w:rsidRDefault="00FB406E" w:rsidP="00FB406E">
      <w:pPr>
        <w:spacing w:line="276" w:lineRule="auto"/>
        <w:ind w:firstLine="567"/>
        <w:rPr>
          <w:b/>
        </w:rPr>
      </w:pPr>
    </w:p>
    <w:p w14:paraId="441D477F" w14:textId="77777777" w:rsidR="00D03A94" w:rsidRDefault="00D03A94" w:rsidP="00FB406E">
      <w:pPr>
        <w:spacing w:line="276" w:lineRule="auto"/>
        <w:ind w:firstLine="567"/>
        <w:jc w:val="center"/>
        <w:rPr>
          <w:b/>
        </w:rPr>
      </w:pPr>
    </w:p>
    <w:p w14:paraId="435DFB71" w14:textId="77777777" w:rsidR="00D03A94" w:rsidRDefault="00D03A94" w:rsidP="00FB406E">
      <w:pPr>
        <w:spacing w:line="276" w:lineRule="auto"/>
        <w:ind w:firstLine="567"/>
        <w:jc w:val="center"/>
        <w:rPr>
          <w:b/>
        </w:rPr>
      </w:pPr>
    </w:p>
    <w:p w14:paraId="1C968A08" w14:textId="324CB239" w:rsidR="00FB406E" w:rsidRDefault="00763C34" w:rsidP="00FB406E">
      <w:pPr>
        <w:spacing w:line="276" w:lineRule="auto"/>
        <w:ind w:firstLine="567"/>
        <w:jc w:val="center"/>
        <w:rPr>
          <w:b/>
        </w:rPr>
      </w:pPr>
      <w:r w:rsidRPr="00294E3A">
        <w:rPr>
          <w:b/>
        </w:rPr>
        <w:t>Север</w:t>
      </w:r>
      <w:r w:rsidR="00FB406E" w:rsidRPr="00294E3A">
        <w:rPr>
          <w:b/>
        </w:rPr>
        <w:t>ск 20</w:t>
      </w:r>
      <w:r w:rsidR="00335DF9" w:rsidRPr="00294E3A">
        <w:rPr>
          <w:b/>
        </w:rPr>
        <w:t>2</w:t>
      </w:r>
      <w:r w:rsidR="001C3C3D">
        <w:rPr>
          <w:b/>
        </w:rPr>
        <w:t>5</w:t>
      </w:r>
    </w:p>
    <w:p w14:paraId="72FF39C4" w14:textId="61C155A0" w:rsidR="001D40F1" w:rsidRDefault="001D40F1" w:rsidP="00D03A94">
      <w:pPr>
        <w:pStyle w:val="12"/>
        <w:numPr>
          <w:ilvl w:val="1"/>
          <w:numId w:val="40"/>
        </w:numPr>
        <w:contextualSpacing/>
        <w:rPr>
          <w:b/>
          <w:sz w:val="24"/>
          <w:szCs w:val="24"/>
        </w:rPr>
      </w:pPr>
      <w:r w:rsidRPr="00BB5C0D">
        <w:rPr>
          <w:b/>
          <w:sz w:val="24"/>
          <w:szCs w:val="24"/>
        </w:rPr>
        <w:lastRenderedPageBreak/>
        <w:t>ОПИСАНИЕ ИНВЕСТИЦИОННОГО ПРОЕКТА</w:t>
      </w:r>
    </w:p>
    <w:p w14:paraId="50FEBB7B" w14:textId="77777777" w:rsidR="00175384" w:rsidRPr="00BB5C0D" w:rsidRDefault="00175384" w:rsidP="00175384">
      <w:pPr>
        <w:pStyle w:val="12"/>
        <w:ind w:left="709" w:firstLine="0"/>
        <w:contextualSpacing/>
        <w:rPr>
          <w:b/>
          <w:sz w:val="24"/>
          <w:szCs w:val="24"/>
        </w:rPr>
      </w:pPr>
    </w:p>
    <w:p w14:paraId="44580C03" w14:textId="77777777" w:rsidR="001D40F1" w:rsidRDefault="001D40F1" w:rsidP="00D03A94">
      <w:pPr>
        <w:pStyle w:val="12"/>
        <w:numPr>
          <w:ilvl w:val="1"/>
          <w:numId w:val="39"/>
        </w:numPr>
        <w:contextualSpacing/>
        <w:rPr>
          <w:b/>
          <w:sz w:val="24"/>
          <w:szCs w:val="24"/>
        </w:rPr>
      </w:pPr>
      <w:r w:rsidRPr="00BB5C0D">
        <w:rPr>
          <w:b/>
          <w:sz w:val="24"/>
          <w:szCs w:val="24"/>
        </w:rPr>
        <w:t>Цели и задачи инвестиционного проекта</w:t>
      </w:r>
    </w:p>
    <w:p w14:paraId="49144F2C" w14:textId="243D74D1" w:rsidR="00A776F3" w:rsidRDefault="00A776F3" w:rsidP="00D03A94">
      <w:pPr>
        <w:ind w:firstLine="709"/>
        <w:contextualSpacing/>
        <w:jc w:val="both"/>
      </w:pPr>
      <w:r w:rsidRPr="0035443C">
        <w:t>Цель реализации инвестиционного проекта - выполнение</w:t>
      </w:r>
      <w:r w:rsidRPr="00B0695E">
        <w:t xml:space="preserve"> требований законодательства РФ, предписаний органов исполнительной власти, регламентов рынков электрической энергии</w:t>
      </w:r>
      <w:r>
        <w:t>.</w:t>
      </w:r>
    </w:p>
    <w:p w14:paraId="29AEB90E" w14:textId="45DB6BD5" w:rsidR="000533A0" w:rsidRDefault="00717A5F" w:rsidP="00D03A94">
      <w:pPr>
        <w:ind w:firstLine="709"/>
        <w:contextualSpacing/>
        <w:jc w:val="both"/>
      </w:pPr>
      <w:r>
        <w:t>Необходимость реализации проекта в</w:t>
      </w:r>
      <w:r w:rsidR="00157BE3">
        <w:t xml:space="preserve"> соответствии с требованиями</w:t>
      </w:r>
      <w:r w:rsidR="000533A0">
        <w:t xml:space="preserve"> законодательства в области безопасности КИИ и выполнения прямых требований</w:t>
      </w:r>
      <w:r w:rsidR="00AC795F">
        <w:t xml:space="preserve"> </w:t>
      </w:r>
      <w:hyperlink r:id="rId6" w:history="1">
        <w:r w:rsidR="00AC795F" w:rsidRPr="00D03A94">
          <w:rPr>
            <w:rStyle w:val="ac"/>
            <w:color w:val="auto"/>
          </w:rPr>
          <w:t xml:space="preserve">письма от ФСТЭК </w:t>
        </w:r>
      </w:hyperlink>
      <w:r w:rsidR="00AC795F">
        <w:t>и</w:t>
      </w:r>
      <w:r w:rsidR="000533A0">
        <w:t xml:space="preserve"> законодательства п.16-18 Постановление Правительства РФ №127 от 8 февраля 2018 г., п.5-ст.7 «О безопасности критической информационной инфраструктуры Российской Федерации» и в соответствии с Указом Президента Российской Федерации от 1 мая 2022 г. № 250 «О дополнительных мерах по обеспечению информационной безопасности РФ».</w:t>
      </w:r>
    </w:p>
    <w:p w14:paraId="5A3A7767" w14:textId="7E031491" w:rsidR="00A776F3" w:rsidRPr="00952B8A" w:rsidRDefault="00A776F3" w:rsidP="00D03A94">
      <w:pPr>
        <w:ind w:firstLine="709"/>
        <w:contextualSpacing/>
        <w:jc w:val="both"/>
      </w:pPr>
      <w:r>
        <w:t>В рамках проекта планируется проведение категорирования объектов КИИ и подготовка пакета документов по результатам категорирования предприятия</w:t>
      </w:r>
      <w:r w:rsidRPr="009133A8">
        <w:t xml:space="preserve"> </w:t>
      </w:r>
      <w:r>
        <w:t>ООО «Электросети</w:t>
      </w:r>
      <w:r w:rsidRPr="00256F4E">
        <w:t>»</w:t>
      </w:r>
      <w:r w:rsidRPr="009133A8">
        <w:t>.</w:t>
      </w:r>
      <w:r>
        <w:t xml:space="preserve"> </w:t>
      </w:r>
      <w:r w:rsidR="00B3356A">
        <w:t xml:space="preserve">Кроме того, оборудование трансформаторных подстанций системой сигнализации. </w:t>
      </w:r>
      <w:r>
        <w:t>Эти мероприятия позволят обеспечить безопасность трансформаторных подстанций (защита от несанкционированного проникновения) и предотвратить рост потерь электроэнергии.</w:t>
      </w:r>
    </w:p>
    <w:p w14:paraId="6E200AC2" w14:textId="64CBE89C" w:rsidR="00B96F66" w:rsidRDefault="00E15831" w:rsidP="00D03A94">
      <w:pPr>
        <w:ind w:firstLine="709"/>
        <w:contextualSpacing/>
        <w:jc w:val="both"/>
      </w:pPr>
      <w:r w:rsidRPr="00256F4E">
        <w:t xml:space="preserve">В настоящий момент в ООО «Электросети» насчитывается более </w:t>
      </w:r>
      <w:r w:rsidRPr="00591D24">
        <w:t>6</w:t>
      </w:r>
      <w:r w:rsidRPr="00256F4E">
        <w:t>0 единиц</w:t>
      </w:r>
      <w:r>
        <w:t xml:space="preserve"> компьютерной техники.</w:t>
      </w:r>
      <w:r w:rsidR="00C15D37">
        <w:t xml:space="preserve"> Серверного оборудования в количестве 6 единиц.</w:t>
      </w:r>
      <w:r>
        <w:t xml:space="preserve"> </w:t>
      </w:r>
      <w:r w:rsidR="00B96F66">
        <w:t>Более 2000 единиц интеллект</w:t>
      </w:r>
      <w:r w:rsidR="00C15D37">
        <w:t>уальных приборов учета и свыше 1</w:t>
      </w:r>
      <w:r w:rsidR="00B96F66">
        <w:t>0 единиц коммутационного оборудования.</w:t>
      </w:r>
    </w:p>
    <w:p w14:paraId="407DFD7B" w14:textId="6C81BE81" w:rsidR="00E15831" w:rsidRDefault="00E15831" w:rsidP="00D03A94">
      <w:pPr>
        <w:ind w:firstLine="709"/>
        <w:contextualSpacing/>
        <w:jc w:val="both"/>
      </w:pPr>
      <w:r w:rsidRPr="002E5AE8">
        <w:t>На компьютерах осуществляется работа в информационных системах</w:t>
      </w:r>
      <w:r w:rsidR="00D77C83">
        <w:t xml:space="preserve"> включая </w:t>
      </w:r>
      <w:r w:rsidR="00C15D37">
        <w:t xml:space="preserve">серверные </w:t>
      </w:r>
      <w:r w:rsidR="00D77C83">
        <w:t>системы где</w:t>
      </w:r>
      <w:r w:rsidR="00B96F66">
        <w:t xml:space="preserve"> хранятся персональные данные </w:t>
      </w:r>
      <w:r w:rsidR="00D77C83">
        <w:t>потребителей, на которых зарегистрированы приборы учета</w:t>
      </w:r>
      <w:r>
        <w:t>.</w:t>
      </w:r>
      <w:r w:rsidRPr="002E5AE8">
        <w:t xml:space="preserve"> </w:t>
      </w:r>
      <w:r w:rsidR="00C15D37">
        <w:t>Предотвращение хакерских атак и утечек персональных данных необходимо в связи с прямым законодательством №420-ФЗ</w:t>
      </w:r>
      <w:r w:rsidR="00BD0A4D">
        <w:t>.</w:t>
      </w:r>
    </w:p>
    <w:p w14:paraId="48764E8D" w14:textId="14AEA979" w:rsidR="00683DCA" w:rsidRDefault="00683DCA" w:rsidP="00D03A94">
      <w:pPr>
        <w:ind w:firstLine="709"/>
        <w:contextualSpacing/>
        <w:jc w:val="both"/>
      </w:pPr>
      <w:r>
        <w:t xml:space="preserve">Усиление в части охранной-сигнализации трансформаторных подстанций позволит предприятию сократить потери, а </w:t>
      </w:r>
      <w:r w:rsidR="008B45BA">
        <w:t>также</w:t>
      </w:r>
      <w:r>
        <w:t xml:space="preserve"> обезопасит подстанции от несанкционированного доступа.</w:t>
      </w:r>
    </w:p>
    <w:p w14:paraId="5EE5BD69" w14:textId="1461AE90" w:rsidR="00DD7FC9" w:rsidRDefault="00DD7FC9" w:rsidP="00D03A94">
      <w:pPr>
        <w:ind w:firstLine="709"/>
        <w:contextualSpacing/>
        <w:jc w:val="both"/>
      </w:pPr>
      <w:r>
        <w:t>Реализация данного проекта позволит определить существующие состояние инфраструктуры компании выявить угрозы информационной безопасности и привести информационные системы в соответствие с требованиями федеральных законов.</w:t>
      </w:r>
    </w:p>
    <w:p w14:paraId="385A0753" w14:textId="3AE2D1AF" w:rsidR="00DD0551" w:rsidRDefault="00DD7FC9" w:rsidP="00D03A94">
      <w:pPr>
        <w:pStyle w:val="a3"/>
        <w:contextualSpacing/>
        <w:rPr>
          <w:color w:val="auto"/>
        </w:rPr>
      </w:pPr>
      <w:r w:rsidRPr="00DD7FC9">
        <w:rPr>
          <w:color w:val="auto"/>
        </w:rPr>
        <w:t>Задача</w:t>
      </w:r>
      <w:r>
        <w:rPr>
          <w:color w:val="auto"/>
        </w:rPr>
        <w:t xml:space="preserve"> обеспечение информационной безопасности предприятия путем привлечения внешних экспертов. Проведение аудита и внедрение системы организационных и технических мер общего и специального характера, которые позволят эффективно обеспечить</w:t>
      </w:r>
      <w:r w:rsidR="004137F7">
        <w:rPr>
          <w:color w:val="auto"/>
        </w:rPr>
        <w:t xml:space="preserve"> высокое качество информационно-технической</w:t>
      </w:r>
      <w:r>
        <w:rPr>
          <w:color w:val="auto"/>
        </w:rPr>
        <w:t xml:space="preserve"> безопасности предприятия.</w:t>
      </w:r>
    </w:p>
    <w:p w14:paraId="084F66D1" w14:textId="619E158B" w:rsidR="00952B8A" w:rsidRDefault="008A5063" w:rsidP="00D03A94">
      <w:pPr>
        <w:pStyle w:val="a3"/>
        <w:contextualSpacing/>
        <w:rPr>
          <w:color w:val="auto"/>
        </w:rPr>
      </w:pPr>
      <w:r>
        <w:rPr>
          <w:color w:val="auto"/>
        </w:rPr>
        <w:t>Внедрить информационные-системы и программное обеспечение соответствующе действующему законодательству в области критической информационной инфраструктуры.</w:t>
      </w:r>
      <w:r w:rsidR="00D03A94">
        <w:rPr>
          <w:color w:val="auto"/>
        </w:rPr>
        <w:t xml:space="preserve"> </w:t>
      </w:r>
      <w:r w:rsidR="00717A5F">
        <w:rPr>
          <w:color w:val="auto"/>
        </w:rPr>
        <w:t>Обезопасить трансформаторные подстанции от несанкционированного проникновения.</w:t>
      </w:r>
    </w:p>
    <w:p w14:paraId="36A482CD" w14:textId="77777777" w:rsidR="00717A5F" w:rsidRPr="00DD7FC9" w:rsidRDefault="00717A5F" w:rsidP="004137F7">
      <w:pPr>
        <w:pStyle w:val="a3"/>
        <w:rPr>
          <w:color w:val="auto"/>
        </w:rPr>
      </w:pPr>
    </w:p>
    <w:p w14:paraId="028FF6F6" w14:textId="08AD6A50" w:rsidR="00DD7FC9" w:rsidRPr="002063C0" w:rsidRDefault="00717A5F" w:rsidP="00D03A94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>
        <w:rPr>
          <w:b/>
          <w:bCs/>
        </w:rPr>
        <w:t>1.2</w:t>
      </w:r>
      <w:r w:rsidRPr="00904755">
        <w:rPr>
          <w:b/>
          <w:bCs/>
        </w:rPr>
        <w:t xml:space="preserve"> </w:t>
      </w:r>
      <w:r>
        <w:rPr>
          <w:b/>
          <w:bCs/>
        </w:rPr>
        <w:t>Этапы и сроки</w:t>
      </w:r>
    </w:p>
    <w:p w14:paraId="7E05ECFD" w14:textId="038CA324" w:rsidR="001D7BD3" w:rsidRP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610F7">
        <w:rPr>
          <w:rFonts w:ascii="Times New Roman" w:hAnsi="Times New Roman" w:cs="Times New Roman"/>
          <w:color w:val="auto"/>
        </w:rPr>
        <w:t>В соответствии с законодательством будут проведены следующие этапы:</w:t>
      </w:r>
    </w:p>
    <w:p w14:paraId="270096F2" w14:textId="66328CCB" w:rsidR="006610F7" w:rsidRDefault="00717A5F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-</w:t>
      </w:r>
      <w:r w:rsidR="006610F7" w:rsidRPr="006610F7">
        <w:rPr>
          <w:rFonts w:ascii="Times New Roman" w:hAnsi="Times New Roman" w:cs="Times New Roman"/>
          <w:color w:val="auto"/>
        </w:rPr>
        <w:t xml:space="preserve"> Этап №1 </w:t>
      </w:r>
      <w:r w:rsidR="006610F7" w:rsidRPr="006610F7">
        <w:rPr>
          <w:rFonts w:ascii="Times New Roman" w:hAnsi="Times New Roman" w:cs="Times New Roman"/>
        </w:rPr>
        <w:t>Подготовка перечня объектов КИИ в соответствии с постановлением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</w:t>
      </w:r>
      <w:r w:rsidR="00D03A94">
        <w:rPr>
          <w:rFonts w:ascii="Times New Roman" w:hAnsi="Times New Roman" w:cs="Times New Roman"/>
        </w:rPr>
        <w:t>;</w:t>
      </w:r>
    </w:p>
    <w:p w14:paraId="128F2658" w14:textId="7B630F48" w:rsidR="006610F7" w:rsidRDefault="00717A5F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610F7" w:rsidRPr="006610F7">
        <w:rPr>
          <w:rFonts w:ascii="Times New Roman" w:hAnsi="Times New Roman" w:cs="Times New Roman"/>
        </w:rPr>
        <w:t xml:space="preserve"> </w:t>
      </w:r>
      <w:r w:rsidR="001607B6">
        <w:rPr>
          <w:rFonts w:ascii="Times New Roman" w:hAnsi="Times New Roman" w:cs="Times New Roman"/>
        </w:rPr>
        <w:t xml:space="preserve">Этап №2 </w:t>
      </w:r>
      <w:r w:rsidR="006610F7" w:rsidRPr="006610F7">
        <w:rPr>
          <w:rFonts w:ascii="Times New Roman" w:hAnsi="Times New Roman" w:cs="Times New Roman"/>
        </w:rPr>
        <w:t>Категорирование объектов КИИ для отправки данных во ФСТЭК в соответствии с постановлением Правительства РФ от 08.02.2018 № 127.</w:t>
      </w:r>
    </w:p>
    <w:p w14:paraId="378F737E" w14:textId="51327C97" w:rsidR="006610F7" w:rsidRP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рамках первого этапа в соответствии с требованием действующего законодательства в области критической информационной инфраструктуры, предполагаются следующие виды работ</w:t>
      </w:r>
      <w:r w:rsidRPr="006610F7">
        <w:rPr>
          <w:rFonts w:ascii="Times New Roman" w:hAnsi="Times New Roman" w:cs="Times New Roman"/>
        </w:rPr>
        <w:t>:</w:t>
      </w:r>
    </w:p>
    <w:p w14:paraId="6C45B376" w14:textId="0BA93E0A" w:rsid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 w:rsidRPr="006610F7">
        <w:rPr>
          <w:rFonts w:ascii="Times New Roman" w:hAnsi="Times New Roman" w:cs="Times New Roman"/>
        </w:rPr>
        <w:t>1) Консультирование по вопросам выполнения требований Федерального закона от 26.07.2017 № 187-ФЗ «О безопасности критической информационной инфрас</w:t>
      </w:r>
      <w:r w:rsidR="00D03A94">
        <w:rPr>
          <w:rFonts w:ascii="Times New Roman" w:hAnsi="Times New Roman" w:cs="Times New Roman"/>
        </w:rPr>
        <w:t>труктуры Российской Федерации».</w:t>
      </w:r>
    </w:p>
    <w:p w14:paraId="0862FE77" w14:textId="68AF6A9E" w:rsid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 w:rsidRPr="006610F7">
        <w:rPr>
          <w:rFonts w:ascii="Times New Roman" w:hAnsi="Times New Roman" w:cs="Times New Roman"/>
        </w:rPr>
        <w:t>2) Разработка приказа о создании комиссии по категорированию объектов критической инфор</w:t>
      </w:r>
      <w:r w:rsidR="00D03A94">
        <w:rPr>
          <w:rFonts w:ascii="Times New Roman" w:hAnsi="Times New Roman" w:cs="Times New Roman"/>
        </w:rPr>
        <w:t>мационной инфраструктуры (КИИ).</w:t>
      </w:r>
    </w:p>
    <w:p w14:paraId="29F3EFD5" w14:textId="2D5E2F74" w:rsid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 w:rsidRPr="006610F7">
        <w:rPr>
          <w:rFonts w:ascii="Times New Roman" w:hAnsi="Times New Roman" w:cs="Times New Roman"/>
        </w:rPr>
        <w:lastRenderedPageBreak/>
        <w:t xml:space="preserve">3) Определение управленческих, технологических, производственных, финансово-экономических и (или) иных процессов в рамках выполнения функций (полномочий) или осуществления </w:t>
      </w:r>
      <w:r w:rsidR="00D03A94">
        <w:rPr>
          <w:rFonts w:ascii="Times New Roman" w:hAnsi="Times New Roman" w:cs="Times New Roman"/>
        </w:rPr>
        <w:t>видов деятельности организации.</w:t>
      </w:r>
    </w:p>
    <w:p w14:paraId="61B9347B" w14:textId="72C0E4AC" w:rsidR="006610F7" w:rsidRDefault="00D03A94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6610F7" w:rsidRPr="006610F7">
        <w:rPr>
          <w:rFonts w:ascii="Times New Roman" w:hAnsi="Times New Roman" w:cs="Times New Roman"/>
        </w:rPr>
        <w:t>Выявление наличия крити</w:t>
      </w:r>
      <w:r>
        <w:rPr>
          <w:rFonts w:ascii="Times New Roman" w:hAnsi="Times New Roman" w:cs="Times New Roman"/>
        </w:rPr>
        <w:t>ческих процессов в организации.</w:t>
      </w:r>
    </w:p>
    <w:p w14:paraId="3F44E909" w14:textId="551ADE45" w:rsid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 w:rsidRPr="006610F7">
        <w:rPr>
          <w:rFonts w:ascii="Times New Roman" w:hAnsi="Times New Roman" w:cs="Times New Roman"/>
        </w:rPr>
        <w:t>В рамках второго этапа будут проведены следующие меропр</w:t>
      </w:r>
      <w:r w:rsidR="00D03A94">
        <w:rPr>
          <w:rFonts w:ascii="Times New Roman" w:hAnsi="Times New Roman" w:cs="Times New Roman"/>
        </w:rPr>
        <w:t>иятия:</w:t>
      </w:r>
    </w:p>
    <w:p w14:paraId="6BE07EE3" w14:textId="2FE23B20" w:rsid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 w:rsidRPr="006610F7">
        <w:rPr>
          <w:rFonts w:ascii="Times New Roman" w:hAnsi="Times New Roman" w:cs="Times New Roman"/>
        </w:rPr>
        <w:t>1) Выявление объектов КИИ, которые обрабатывают информацию, необходимую для обеспечения выполнения критических процессов, и (или) осуществляют управление, контроль или мо</w:t>
      </w:r>
      <w:r w:rsidR="00D03A94">
        <w:rPr>
          <w:rFonts w:ascii="Times New Roman" w:hAnsi="Times New Roman" w:cs="Times New Roman"/>
        </w:rPr>
        <w:t>ниторинг критических процессов.</w:t>
      </w:r>
    </w:p>
    <w:p w14:paraId="68AE6D58" w14:textId="2E8BEC11" w:rsid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 w:rsidRPr="006610F7">
        <w:rPr>
          <w:rFonts w:ascii="Times New Roman" w:hAnsi="Times New Roman" w:cs="Times New Roman"/>
        </w:rPr>
        <w:t>2) Определение угроз безопасности для объекто</w:t>
      </w:r>
      <w:r w:rsidR="00D03A94">
        <w:rPr>
          <w:rFonts w:ascii="Times New Roman" w:hAnsi="Times New Roman" w:cs="Times New Roman"/>
        </w:rPr>
        <w:t>в КИИ.</w:t>
      </w:r>
    </w:p>
    <w:p w14:paraId="20689711" w14:textId="24917442" w:rsid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 w:rsidRPr="006610F7">
        <w:rPr>
          <w:rFonts w:ascii="Times New Roman" w:hAnsi="Times New Roman" w:cs="Times New Roman"/>
        </w:rPr>
        <w:t>3) Оценка возможных последствий в случае возникновения компьютерных инцидентов на объектах КИИ, определение значения каждого из показателей критериев значимости или обоснования их неприменимости. 4) Определение категории значимости либо принятие решения об отсутствии необходимости прис</w:t>
      </w:r>
      <w:r w:rsidR="00D03A94">
        <w:rPr>
          <w:rFonts w:ascii="Times New Roman" w:hAnsi="Times New Roman" w:cs="Times New Roman"/>
        </w:rPr>
        <w:t>воения им категорий значимости.</w:t>
      </w:r>
    </w:p>
    <w:p w14:paraId="05782C49" w14:textId="74C85DF4" w:rsid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 w:rsidRPr="006610F7">
        <w:rPr>
          <w:rFonts w:ascii="Times New Roman" w:hAnsi="Times New Roman" w:cs="Times New Roman"/>
        </w:rPr>
        <w:t>5) Формирование акт</w:t>
      </w:r>
      <w:r w:rsidR="00D03A94">
        <w:rPr>
          <w:rFonts w:ascii="Times New Roman" w:hAnsi="Times New Roman" w:cs="Times New Roman"/>
        </w:rPr>
        <w:t>а категорирования объектов КИИ.</w:t>
      </w:r>
    </w:p>
    <w:p w14:paraId="0C981B62" w14:textId="54F0AE99" w:rsidR="006610F7" w:rsidRDefault="006610F7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 w:rsidRPr="006610F7">
        <w:rPr>
          <w:rFonts w:ascii="Times New Roman" w:hAnsi="Times New Roman" w:cs="Times New Roman"/>
        </w:rPr>
        <w:t>6) Подготовка сведений о категорировании об</w:t>
      </w:r>
      <w:r w:rsidR="00D03A94">
        <w:rPr>
          <w:rFonts w:ascii="Times New Roman" w:hAnsi="Times New Roman" w:cs="Times New Roman"/>
        </w:rPr>
        <w:t>ъектов КИИ для подачи во ФСТЭК.</w:t>
      </w:r>
    </w:p>
    <w:p w14:paraId="16FDC727" w14:textId="53E8B966" w:rsidR="007A20EB" w:rsidRDefault="007A20EB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Этап №3 Реализация мероприятий по монтажу сигнализации трансформаторных подстанций.</w:t>
      </w:r>
    </w:p>
    <w:p w14:paraId="2F49DC19" w14:textId="10A51CB1" w:rsidR="00717A5F" w:rsidRDefault="00717A5F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Сроки реализации этапов и мероприятий в комплексе с </w:t>
      </w:r>
      <w:r>
        <w:rPr>
          <w:rFonts w:ascii="Times New Roman" w:hAnsi="Times New Roman" w:cs="Times New Roman"/>
          <w:lang w:val="en-US"/>
        </w:rPr>
        <w:t>III</w:t>
      </w:r>
      <w:r w:rsidRPr="00717A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  <w:lang w:val="en-US"/>
        </w:rPr>
        <w:t>IV</w:t>
      </w:r>
      <w:r w:rsidRPr="00717A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квартал 2025 года.</w:t>
      </w:r>
    </w:p>
    <w:p w14:paraId="294A74B0" w14:textId="77777777" w:rsidR="00E21341" w:rsidRPr="00717A5F" w:rsidRDefault="00E21341" w:rsidP="00D03A94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14:paraId="770B212F" w14:textId="725B2A0D" w:rsidR="00E21341" w:rsidRDefault="00E21341" w:rsidP="00D03A9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3A94">
        <w:rPr>
          <w:rFonts w:ascii="Times New Roman" w:hAnsi="Times New Roman"/>
          <w:sz w:val="24"/>
          <w:szCs w:val="24"/>
        </w:rPr>
        <w:t>На основании коммерческих предложений выполнен</w:t>
      </w:r>
      <w:r w:rsidRPr="002063C0">
        <w:rPr>
          <w:rFonts w:ascii="Times New Roman" w:hAnsi="Times New Roman"/>
          <w:sz w:val="24"/>
          <w:szCs w:val="24"/>
        </w:rPr>
        <w:t xml:space="preserve"> расчет</w:t>
      </w:r>
      <w:r>
        <w:rPr>
          <w:rFonts w:ascii="Times New Roman" w:hAnsi="Times New Roman"/>
          <w:sz w:val="24"/>
          <w:szCs w:val="24"/>
        </w:rPr>
        <w:t xml:space="preserve"> на проведение</w:t>
      </w:r>
      <w:r w:rsidR="00A54291">
        <w:rPr>
          <w:rFonts w:ascii="Times New Roman" w:hAnsi="Times New Roman"/>
          <w:sz w:val="24"/>
          <w:szCs w:val="24"/>
        </w:rPr>
        <w:t xml:space="preserve"> мероприятий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2E0597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категоризации объекта</w:t>
      </w:r>
      <w:r w:rsidR="00A54291" w:rsidRPr="00A54291">
        <w:rPr>
          <w:rFonts w:ascii="Times New Roman" w:hAnsi="Times New Roman"/>
          <w:sz w:val="24"/>
          <w:szCs w:val="24"/>
        </w:rPr>
        <w:t xml:space="preserve"> </w:t>
      </w:r>
      <w:r w:rsidR="00A54291">
        <w:rPr>
          <w:rFonts w:ascii="Times New Roman" w:hAnsi="Times New Roman"/>
          <w:sz w:val="24"/>
          <w:szCs w:val="24"/>
        </w:rPr>
        <w:t>и системы сигнализаций подстанций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3C0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соответствии с законодательством РФ</w:t>
      </w:r>
      <w:r w:rsidRPr="002063C0">
        <w:rPr>
          <w:rFonts w:ascii="Times New Roman" w:hAnsi="Times New Roman"/>
          <w:sz w:val="24"/>
          <w:szCs w:val="24"/>
        </w:rPr>
        <w:t>:</w:t>
      </w:r>
    </w:p>
    <w:p w14:paraId="0104F732" w14:textId="443A8EC0" w:rsidR="00E21341" w:rsidRPr="000B3E1E" w:rsidRDefault="00E21341" w:rsidP="00E21341">
      <w:pPr>
        <w:pStyle w:val="a5"/>
        <w:spacing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0B3E1E">
        <w:rPr>
          <w:rFonts w:ascii="Times New Roman" w:hAnsi="Times New Roman"/>
        </w:rPr>
        <w:t xml:space="preserve">Таблица № </w:t>
      </w:r>
      <w:r w:rsidR="00FA1D1E" w:rsidRPr="000B3E1E">
        <w:rPr>
          <w:rFonts w:ascii="Times New Roman" w:hAnsi="Times New Roman"/>
        </w:rPr>
        <w:t>1</w:t>
      </w:r>
    </w:p>
    <w:tbl>
      <w:tblPr>
        <w:tblStyle w:val="af"/>
        <w:tblW w:w="10173" w:type="dxa"/>
        <w:tblLook w:val="04A0" w:firstRow="1" w:lastRow="0" w:firstColumn="1" w:lastColumn="0" w:noHBand="0" w:noVBand="1"/>
      </w:tblPr>
      <w:tblGrid>
        <w:gridCol w:w="817"/>
        <w:gridCol w:w="5812"/>
        <w:gridCol w:w="2126"/>
        <w:gridCol w:w="1418"/>
      </w:tblGrid>
      <w:tr w:rsidR="00E21341" w:rsidRPr="000B3E1E" w14:paraId="19E39AE0" w14:textId="77777777" w:rsidTr="00A42346">
        <w:trPr>
          <w:trHeight w:val="711"/>
        </w:trPr>
        <w:tc>
          <w:tcPr>
            <w:tcW w:w="817" w:type="dxa"/>
            <w:vAlign w:val="center"/>
          </w:tcPr>
          <w:p w14:paraId="368BFB07" w14:textId="77777777" w:rsidR="00E21341" w:rsidRPr="000B3E1E" w:rsidRDefault="00E21341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п.п</w:t>
            </w:r>
            <w:proofErr w:type="spellEnd"/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vAlign w:val="center"/>
          </w:tcPr>
          <w:p w14:paraId="332A086C" w14:textId="77777777" w:rsidR="00E21341" w:rsidRPr="000B3E1E" w:rsidRDefault="00E21341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6E91E41C" w14:textId="77777777" w:rsidR="00E21341" w:rsidRPr="000B3E1E" w:rsidRDefault="00E21341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Стоимость </w:t>
            </w:r>
          </w:p>
          <w:p w14:paraId="6DE8EDF2" w14:textId="6A593C71" w:rsidR="00E21341" w:rsidRPr="000B3E1E" w:rsidRDefault="00E21341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 НДС</w:t>
            </w:r>
            <w:r w:rsidR="00A776F3"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</w:p>
          <w:p w14:paraId="1BFD4CC9" w14:textId="3F3188C8" w:rsidR="00E21341" w:rsidRPr="000B3E1E" w:rsidRDefault="00E21341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vAlign w:val="center"/>
          </w:tcPr>
          <w:p w14:paraId="04F08323" w14:textId="2973C2F1" w:rsidR="00E21341" w:rsidRPr="000B3E1E" w:rsidRDefault="00E21341" w:rsidP="00A776F3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Стоимость с НДС</w:t>
            </w:r>
            <w:r w:rsidR="00A776F3"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 руб.</w:t>
            </w:r>
          </w:p>
        </w:tc>
      </w:tr>
      <w:tr w:rsidR="00E21341" w:rsidRPr="000B3E1E" w14:paraId="5C55A149" w14:textId="77777777" w:rsidTr="00A42346">
        <w:tc>
          <w:tcPr>
            <w:tcW w:w="817" w:type="dxa"/>
            <w:vAlign w:val="center"/>
          </w:tcPr>
          <w:p w14:paraId="4BB94FF4" w14:textId="77777777" w:rsidR="00E21341" w:rsidRPr="000B3E1E" w:rsidRDefault="00E21341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812" w:type="dxa"/>
            <w:vAlign w:val="center"/>
          </w:tcPr>
          <w:p w14:paraId="1F3D0F8C" w14:textId="77777777" w:rsidR="00E21341" w:rsidRPr="000B3E1E" w:rsidRDefault="00E21341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Расчет стоимости на 2025 г.</w:t>
            </w:r>
          </w:p>
        </w:tc>
        <w:tc>
          <w:tcPr>
            <w:tcW w:w="2126" w:type="dxa"/>
            <w:vAlign w:val="center"/>
          </w:tcPr>
          <w:p w14:paraId="048A216A" w14:textId="77777777" w:rsidR="00E21341" w:rsidRPr="000B3E1E" w:rsidRDefault="00E21341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14:paraId="423091C9" w14:textId="77777777" w:rsidR="00E21341" w:rsidRPr="000B3E1E" w:rsidRDefault="00E21341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1341" w:rsidRPr="000B3E1E" w14:paraId="159E2063" w14:textId="77777777" w:rsidTr="00A42346">
        <w:trPr>
          <w:trHeight w:val="312"/>
        </w:trPr>
        <w:tc>
          <w:tcPr>
            <w:tcW w:w="817" w:type="dxa"/>
            <w:vAlign w:val="center"/>
          </w:tcPr>
          <w:p w14:paraId="5C19627B" w14:textId="77777777" w:rsidR="00E21341" w:rsidRPr="000B3E1E" w:rsidRDefault="00E21341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812" w:type="dxa"/>
            <w:vAlign w:val="center"/>
          </w:tcPr>
          <w:p w14:paraId="54E3F747" w14:textId="7F340058" w:rsidR="00E21341" w:rsidRPr="000B3E1E" w:rsidRDefault="00E21341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Модели угроз по актуальной методике ФСТЭК ТЗ на создание системы защиты информации, разработка ОРД по обеспечению информационной безопасности, проектирование системы защиты информации</w:t>
            </w:r>
          </w:p>
        </w:tc>
        <w:tc>
          <w:tcPr>
            <w:tcW w:w="2126" w:type="dxa"/>
            <w:vAlign w:val="center"/>
          </w:tcPr>
          <w:p w14:paraId="443E1726" w14:textId="77777777" w:rsidR="00A42346" w:rsidRPr="000B3E1E" w:rsidRDefault="00A42346" w:rsidP="00A42346">
            <w:pPr>
              <w:jc w:val="right"/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260757</w:t>
            </w:r>
          </w:p>
          <w:p w14:paraId="48923C87" w14:textId="724CA351" w:rsidR="00E21341" w:rsidRPr="000B3E1E" w:rsidRDefault="00E21341" w:rsidP="00A42346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D965E64" w14:textId="77777777" w:rsidR="00A42346" w:rsidRPr="000B3E1E" w:rsidRDefault="00A42346" w:rsidP="00A42346">
            <w:pPr>
              <w:jc w:val="right"/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312909</w:t>
            </w:r>
          </w:p>
          <w:p w14:paraId="2D28E9CD" w14:textId="314AA2A9" w:rsidR="00E21341" w:rsidRPr="000B3E1E" w:rsidRDefault="00E21341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1341" w:rsidRPr="000B3E1E" w14:paraId="5DDE5A96" w14:textId="77777777" w:rsidTr="00A42346">
        <w:tc>
          <w:tcPr>
            <w:tcW w:w="817" w:type="dxa"/>
            <w:vAlign w:val="center"/>
          </w:tcPr>
          <w:p w14:paraId="6E4D314E" w14:textId="21661269" w:rsidR="00E21341" w:rsidRPr="000B3E1E" w:rsidRDefault="00E21341" w:rsidP="006F3D5D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7C5240"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14:paraId="22697825" w14:textId="4B348F52" w:rsidR="00E21341" w:rsidRPr="000B3E1E" w:rsidRDefault="00E21341" w:rsidP="0083088F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Охранная</w:t>
            </w:r>
            <w:r w:rsidR="0083088F"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сигнализация трансформаторных подстанций</w:t>
            </w:r>
            <w:r w:rsidR="0083088F"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D9561F"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включая </w:t>
            </w:r>
            <w:r w:rsidR="00A42346"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монтаж и ПНР системы сигнализации трансформаторных подстанций</w:t>
            </w:r>
            <w:r w:rsidR="00D9561F" w:rsidRPr="000B3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14:paraId="1C535C1E" w14:textId="77777777" w:rsidR="00A42346" w:rsidRPr="000B3E1E" w:rsidRDefault="00A42346" w:rsidP="00A42346">
            <w:pPr>
              <w:jc w:val="right"/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1152335</w:t>
            </w:r>
          </w:p>
          <w:p w14:paraId="4332F231" w14:textId="645669D1" w:rsidR="00E21341" w:rsidRPr="000B3E1E" w:rsidRDefault="00E21341" w:rsidP="00A42346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6F36013" w14:textId="77777777" w:rsidR="00A42346" w:rsidRPr="000B3E1E" w:rsidRDefault="00A42346" w:rsidP="00A42346">
            <w:pPr>
              <w:jc w:val="right"/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1382803</w:t>
            </w:r>
          </w:p>
          <w:p w14:paraId="148217F9" w14:textId="6380F896" w:rsidR="00E21341" w:rsidRPr="000B3E1E" w:rsidRDefault="00E21341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1341" w:rsidRPr="000B3E1E" w14:paraId="669C2E32" w14:textId="77777777" w:rsidTr="00A42346">
        <w:tc>
          <w:tcPr>
            <w:tcW w:w="817" w:type="dxa"/>
            <w:vAlign w:val="center"/>
          </w:tcPr>
          <w:p w14:paraId="5DB66C91" w14:textId="77777777" w:rsidR="00E21341" w:rsidRPr="000B3E1E" w:rsidRDefault="00E21341" w:rsidP="006F3D5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14:paraId="3A6FD66F" w14:textId="478648A8" w:rsidR="00E21341" w:rsidRPr="000B3E1E" w:rsidRDefault="00811000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на 2025</w:t>
            </w:r>
            <w:r w:rsidR="00E21341"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2126" w:type="dxa"/>
            <w:vAlign w:val="center"/>
          </w:tcPr>
          <w:p w14:paraId="6F823F68" w14:textId="5D065E3C" w:rsidR="00E21341" w:rsidRPr="000B3E1E" w:rsidRDefault="00A42346" w:rsidP="00A42346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1413092,68</w:t>
            </w:r>
          </w:p>
        </w:tc>
        <w:tc>
          <w:tcPr>
            <w:tcW w:w="1418" w:type="dxa"/>
            <w:vAlign w:val="center"/>
          </w:tcPr>
          <w:p w14:paraId="72C765E0" w14:textId="61DFDDF3" w:rsidR="00E21341" w:rsidRPr="000B3E1E" w:rsidRDefault="00F051F5" w:rsidP="006F3D5D">
            <w:pPr>
              <w:pStyle w:val="a5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2008956</w:t>
            </w:r>
            <w:r w:rsidR="00E21341" w:rsidRPr="000B3E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</w:tbl>
    <w:p w14:paraId="5A06851C" w14:textId="5060BF3B" w:rsidR="00256F4E" w:rsidRDefault="00256F4E" w:rsidP="00BD0487">
      <w:pPr>
        <w:pStyle w:val="a3"/>
        <w:rPr>
          <w:b/>
          <w:color w:val="auto"/>
        </w:rPr>
      </w:pPr>
    </w:p>
    <w:p w14:paraId="2AE32E15" w14:textId="3A6B1368" w:rsidR="00FB449A" w:rsidRPr="00FB449A" w:rsidRDefault="00FB449A" w:rsidP="00D9561F">
      <w:pPr>
        <w:pStyle w:val="a3"/>
        <w:ind w:firstLine="0"/>
        <w:rPr>
          <w:color w:val="auto"/>
        </w:rPr>
      </w:pPr>
      <w:r w:rsidRPr="00FB449A">
        <w:rPr>
          <w:color w:val="auto"/>
        </w:rPr>
        <w:t>Затраты на проведение данного мероприятия составят – 1</w:t>
      </w:r>
      <w:r w:rsidR="00A776F3">
        <w:rPr>
          <w:color w:val="auto"/>
        </w:rPr>
        <w:t>,</w:t>
      </w:r>
      <w:r w:rsidRPr="00FB449A">
        <w:rPr>
          <w:color w:val="auto"/>
        </w:rPr>
        <w:t>413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млн.руб</w:t>
      </w:r>
      <w:proofErr w:type="spellEnd"/>
      <w:r>
        <w:rPr>
          <w:color w:val="auto"/>
        </w:rPr>
        <w:t>.</w:t>
      </w:r>
    </w:p>
    <w:p w14:paraId="2A952D1D" w14:textId="2EC0459F" w:rsidR="00D9561F" w:rsidRPr="00FB449A" w:rsidRDefault="00D9561F" w:rsidP="00D9561F">
      <w:pPr>
        <w:pStyle w:val="a3"/>
        <w:ind w:firstLine="0"/>
        <w:rPr>
          <w:color w:val="auto"/>
        </w:rPr>
      </w:pPr>
      <w:r w:rsidRPr="00FB449A">
        <w:rPr>
          <w:color w:val="auto"/>
        </w:rPr>
        <w:t xml:space="preserve">Финансовая доля в инвестиционной </w:t>
      </w:r>
      <w:r w:rsidR="00A776F3">
        <w:rPr>
          <w:color w:val="auto"/>
        </w:rPr>
        <w:t>пр</w:t>
      </w:r>
      <w:r w:rsidRPr="00FB449A">
        <w:rPr>
          <w:color w:val="auto"/>
        </w:rPr>
        <w:t>ограмме составляет 2,7%</w:t>
      </w:r>
    </w:p>
    <w:p w14:paraId="6616E0D3" w14:textId="77777777" w:rsidR="00FB449A" w:rsidRPr="002063C0" w:rsidRDefault="00FB449A" w:rsidP="00D9561F">
      <w:pPr>
        <w:pStyle w:val="a3"/>
        <w:ind w:firstLine="0"/>
        <w:rPr>
          <w:b/>
          <w:color w:val="auto"/>
        </w:rPr>
      </w:pPr>
    </w:p>
    <w:p w14:paraId="1BFE97F2" w14:textId="738449D3" w:rsidR="004432DF" w:rsidRDefault="004432DF" w:rsidP="004432DF">
      <w:pPr>
        <w:autoSpaceDE w:val="0"/>
        <w:autoSpaceDN w:val="0"/>
        <w:adjustRightInd w:val="0"/>
        <w:ind w:left="720"/>
        <w:rPr>
          <w:b/>
          <w:bCs/>
        </w:rPr>
      </w:pPr>
      <w:bookmarkStart w:id="0" w:name="_GoBack"/>
      <w:bookmarkEnd w:id="0"/>
      <w:r>
        <w:rPr>
          <w:b/>
          <w:bCs/>
        </w:rPr>
        <w:t>1.3 К</w:t>
      </w:r>
      <w:r w:rsidR="000B3E1E">
        <w:rPr>
          <w:b/>
          <w:bCs/>
        </w:rPr>
        <w:t>онкретные результаты реализации</w:t>
      </w:r>
    </w:p>
    <w:p w14:paraId="1506D440" w14:textId="300B1586" w:rsidR="00E21341" w:rsidRPr="00E21341" w:rsidRDefault="00E21341" w:rsidP="00E21341">
      <w:pPr>
        <w:pStyle w:val="a3"/>
        <w:rPr>
          <w:color w:val="auto"/>
        </w:rPr>
      </w:pPr>
      <w:r w:rsidRPr="00E21341">
        <w:rPr>
          <w:color w:val="auto"/>
        </w:rPr>
        <w:t>Результат реализации инвестиционного проекта – получение категории значимости</w:t>
      </w:r>
      <w:r w:rsidR="00D6057A">
        <w:rPr>
          <w:color w:val="auto"/>
        </w:rPr>
        <w:t xml:space="preserve"> </w:t>
      </w:r>
      <w:r w:rsidR="00AC13FE">
        <w:rPr>
          <w:color w:val="auto"/>
        </w:rPr>
        <w:t>(либо ее отсутствие)</w:t>
      </w:r>
      <w:r w:rsidRPr="00E21341">
        <w:rPr>
          <w:color w:val="auto"/>
        </w:rPr>
        <w:t xml:space="preserve"> объекта приведение в нормативное состояние всех систем в соответствии с законодательством Российско</w:t>
      </w:r>
      <w:r w:rsidR="00D6057A">
        <w:rPr>
          <w:color w:val="auto"/>
        </w:rPr>
        <w:t>й Федерации о безопасности КИИ.</w:t>
      </w:r>
    </w:p>
    <w:p w14:paraId="428DB5F8" w14:textId="344586D4" w:rsidR="00960001" w:rsidRPr="00E21341" w:rsidRDefault="00885644" w:rsidP="00E21341">
      <w:pPr>
        <w:pStyle w:val="a3"/>
        <w:rPr>
          <w:color w:val="000000" w:themeColor="text1"/>
        </w:rPr>
      </w:pPr>
      <w:r w:rsidRPr="00E21341">
        <w:rPr>
          <w:color w:val="000000" w:themeColor="text1"/>
        </w:rPr>
        <w:t>На основании законодательства и нормативно пра</w:t>
      </w:r>
      <w:r w:rsidR="004432DF" w:rsidRPr="00E21341">
        <w:rPr>
          <w:color w:val="000000" w:themeColor="text1"/>
        </w:rPr>
        <w:t>вовых документов конкретные результаты р</w:t>
      </w:r>
      <w:r w:rsidR="00FA1D1E">
        <w:rPr>
          <w:color w:val="000000" w:themeColor="text1"/>
        </w:rPr>
        <w:t>еализации приведены в таблице №2</w:t>
      </w:r>
      <w:r w:rsidR="004432DF" w:rsidRPr="00E21341">
        <w:rPr>
          <w:color w:val="000000" w:themeColor="text1"/>
        </w:rPr>
        <w:t>.</w:t>
      </w:r>
    </w:p>
    <w:p w14:paraId="697E9356" w14:textId="2ED08435" w:rsidR="002F7450" w:rsidRPr="002F7450" w:rsidRDefault="00CF7F9D" w:rsidP="00CF7F9D">
      <w:pPr>
        <w:jc w:val="right"/>
      </w:pPr>
      <w:r w:rsidRPr="00642641">
        <w:t xml:space="preserve">Таблица № </w:t>
      </w:r>
      <w:r w:rsidR="00FA1D1E">
        <w:t>2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6"/>
        <w:gridCol w:w="6520"/>
        <w:gridCol w:w="3119"/>
      </w:tblGrid>
      <w:tr w:rsidR="002F7450" w:rsidRPr="000B3E1E" w14:paraId="33E69A05" w14:textId="1BADE851" w:rsidTr="003E4B4D">
        <w:trPr>
          <w:trHeight w:val="574"/>
          <w:tblHeader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ABE30" w14:textId="77777777" w:rsidR="002F7450" w:rsidRPr="000B3E1E" w:rsidRDefault="002F7450" w:rsidP="003E4B4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B3E1E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F2222" w14:textId="08BEBFA8" w:rsidR="002F7450" w:rsidRPr="000B3E1E" w:rsidRDefault="000B495A" w:rsidP="003E4B4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B3E1E">
              <w:rPr>
                <w:b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3D52" w14:textId="46A9B28E" w:rsidR="002F7450" w:rsidRPr="000B3E1E" w:rsidRDefault="002F7450" w:rsidP="003E4B4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0B3E1E">
              <w:rPr>
                <w:b/>
                <w:color w:val="000000"/>
                <w:sz w:val="20"/>
                <w:szCs w:val="20"/>
              </w:rPr>
              <w:t>Количество</w:t>
            </w:r>
          </w:p>
        </w:tc>
      </w:tr>
      <w:tr w:rsidR="002F7450" w:rsidRPr="000B3E1E" w14:paraId="138BCEB0" w14:textId="4FA84ADB" w:rsidTr="003E4B4D">
        <w:trPr>
          <w:trHeight w:val="6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F8A34" w14:textId="6FA187B8" w:rsidR="002F7450" w:rsidRPr="000B3E1E" w:rsidRDefault="002F7450" w:rsidP="003E4B4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A9F5" w14:textId="2A7D57C0" w:rsidR="00952B8A" w:rsidRPr="000B3E1E" w:rsidRDefault="000B495A" w:rsidP="000B3E1E">
            <w:pPr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Подготовка перечня объектов КИИ в соответствии с постановлением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8070" w14:textId="2B36263A" w:rsidR="002F7450" w:rsidRPr="000B3E1E" w:rsidRDefault="007F6D5A" w:rsidP="003E4B4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1</w:t>
            </w:r>
          </w:p>
        </w:tc>
      </w:tr>
      <w:tr w:rsidR="002F7450" w:rsidRPr="000B3E1E" w14:paraId="2C72E3E4" w14:textId="43D850E0" w:rsidTr="003E4B4D">
        <w:trPr>
          <w:trHeight w:val="26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F879C" w14:textId="1752A8F3" w:rsidR="002F7450" w:rsidRPr="000B3E1E" w:rsidRDefault="007F6D5A" w:rsidP="003E4B4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44AF" w14:textId="5E783AEB" w:rsidR="00952B8A" w:rsidRPr="000B3E1E" w:rsidRDefault="000B495A" w:rsidP="000B3E1E">
            <w:pPr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Категорирование объектов КИИ для отправки данных во ФСТЭК в соответствии с постановлением Правительства РФ от 08.02.2018 № 127.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7B83" w14:textId="57653CBC" w:rsidR="002F7450" w:rsidRPr="000B3E1E" w:rsidRDefault="007F6D5A" w:rsidP="003E4B4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B3E1E">
              <w:rPr>
                <w:sz w:val="20"/>
                <w:szCs w:val="20"/>
              </w:rPr>
              <w:t>1</w:t>
            </w:r>
          </w:p>
        </w:tc>
      </w:tr>
      <w:tr w:rsidR="003E4B4D" w:rsidRPr="000B3E1E" w14:paraId="0F7D08F7" w14:textId="03011C25" w:rsidTr="003E4B4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17EF" w14:textId="6C04F427" w:rsidR="003E4B4D" w:rsidRPr="000B3E1E" w:rsidRDefault="003E4B4D" w:rsidP="000B3E1E">
            <w:pPr>
              <w:pStyle w:val="a3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B3E1E">
              <w:rPr>
                <w:color w:val="auto"/>
                <w:sz w:val="20"/>
                <w:szCs w:val="20"/>
              </w:rPr>
              <w:t>3.</w:t>
            </w:r>
          </w:p>
        </w:tc>
        <w:tc>
          <w:tcPr>
            <w:tcW w:w="6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BCA4" w14:textId="152CB7F1" w:rsidR="003E4B4D" w:rsidRPr="000B3E1E" w:rsidRDefault="003E4B4D" w:rsidP="000B3E1E">
            <w:pPr>
              <w:pStyle w:val="a3"/>
              <w:ind w:firstLine="0"/>
              <w:rPr>
                <w:color w:val="auto"/>
                <w:sz w:val="20"/>
                <w:szCs w:val="20"/>
              </w:rPr>
            </w:pPr>
            <w:r w:rsidRPr="000B3E1E">
              <w:rPr>
                <w:color w:val="auto"/>
                <w:sz w:val="20"/>
                <w:szCs w:val="20"/>
              </w:rPr>
              <w:t>Охранная сигнализация трансформаторных подстанций.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6931" w14:textId="220E4A49" w:rsidR="003E4B4D" w:rsidRPr="000B3E1E" w:rsidRDefault="004432DF" w:rsidP="000B3E1E">
            <w:pPr>
              <w:pStyle w:val="a3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0B3E1E">
              <w:rPr>
                <w:color w:val="auto"/>
                <w:sz w:val="20"/>
                <w:szCs w:val="20"/>
              </w:rPr>
              <w:t>20</w:t>
            </w:r>
          </w:p>
        </w:tc>
      </w:tr>
    </w:tbl>
    <w:p w14:paraId="5388FA9A" w14:textId="77777777" w:rsidR="000B3E1E" w:rsidRDefault="000B3E1E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1F29B98B" w14:textId="4902D597" w:rsidR="004432DF" w:rsidRPr="00904755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lastRenderedPageBreak/>
        <w:t>1.4</w:t>
      </w:r>
      <w:r w:rsidRPr="00904755">
        <w:rPr>
          <w:b/>
          <w:bCs/>
        </w:rPr>
        <w:t xml:space="preserve"> </w:t>
      </w:r>
      <w:r w:rsidRPr="0034718C">
        <w:rPr>
          <w:b/>
          <w:bCs/>
        </w:rPr>
        <w:t>Показатели проекта, в том числе показатели энергетической эффективности</w:t>
      </w:r>
    </w:p>
    <w:p w14:paraId="3FE929CA" w14:textId="40EE7FD2" w:rsidR="004432DF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 xml:space="preserve">Установка охранной сигнализации </w:t>
      </w:r>
      <w:r w:rsidRPr="008A0A26">
        <w:rPr>
          <w:bCs/>
        </w:rPr>
        <w:t xml:space="preserve">позволит </w:t>
      </w:r>
      <w:r>
        <w:rPr>
          <w:bCs/>
        </w:rPr>
        <w:t>минимизировать потери электричества</w:t>
      </w:r>
      <w:r w:rsidRPr="008A0A26">
        <w:rPr>
          <w:bCs/>
        </w:rPr>
        <w:t>, тем самым повысит энерге</w:t>
      </w:r>
      <w:r w:rsidR="000B3E1E">
        <w:rPr>
          <w:bCs/>
        </w:rPr>
        <w:t>тическую эффективность объекта.</w:t>
      </w:r>
    </w:p>
    <w:p w14:paraId="6ADAE486" w14:textId="6A7DCB6F" w:rsidR="004432DF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1F3F0C43" w14:textId="77E3CBB8" w:rsidR="004432DF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1.5</w:t>
      </w:r>
      <w:r w:rsidRPr="00904755">
        <w:rPr>
          <w:b/>
          <w:bCs/>
        </w:rPr>
        <w:t xml:space="preserve"> Оценка влияния проекта на достижение плановых значений количественных показателей реализации инвестиционной программы</w:t>
      </w:r>
    </w:p>
    <w:p w14:paraId="76F24ABF" w14:textId="1B4FBFB3" w:rsidR="004432DF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 xml:space="preserve">В 2025 году затраты на проведение данных мероприятий составят – 1.160 </w:t>
      </w:r>
      <w:proofErr w:type="spellStart"/>
      <w:r>
        <w:rPr>
          <w:bCs/>
        </w:rPr>
        <w:t>млн.руб</w:t>
      </w:r>
      <w:proofErr w:type="spellEnd"/>
      <w:r>
        <w:rPr>
          <w:bCs/>
        </w:rPr>
        <w:t>.</w:t>
      </w:r>
    </w:p>
    <w:p w14:paraId="75EEB819" w14:textId="77777777" w:rsidR="004432DF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71FEFF89" w14:textId="40A56719" w:rsidR="004432DF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1.6</w:t>
      </w:r>
      <w:r w:rsidRPr="00904755">
        <w:rPr>
          <w:b/>
          <w:bCs/>
        </w:rPr>
        <w:t xml:space="preserve"> График реализации проекта</w:t>
      </w:r>
    </w:p>
    <w:p w14:paraId="5D79F4E4" w14:textId="1014175D" w:rsidR="004432DF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Реализация инвестиционного проекта рас</w:t>
      </w:r>
      <w:r w:rsidR="00F35922">
        <w:rPr>
          <w:bCs/>
        </w:rPr>
        <w:t>с</w:t>
      </w:r>
      <w:r>
        <w:rPr>
          <w:bCs/>
        </w:rPr>
        <w:t>читана на 2 этап</w:t>
      </w:r>
      <w:r w:rsidR="00F35922">
        <w:rPr>
          <w:bCs/>
        </w:rPr>
        <w:t>а.</w:t>
      </w:r>
    </w:p>
    <w:p w14:paraId="6C8A0C15" w14:textId="02007251" w:rsidR="004432DF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2025г- 1 Этап Анализ и подготовка документов для направление данных во ФСТЭК</w:t>
      </w:r>
    </w:p>
    <w:p w14:paraId="662E33A3" w14:textId="4111DF88" w:rsidR="004432DF" w:rsidRDefault="004432DF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2025г-2 Этап Обеспечение охранной сигнализацией тран</w:t>
      </w:r>
      <w:r w:rsidR="00F35922">
        <w:rPr>
          <w:bCs/>
        </w:rPr>
        <w:t>с</w:t>
      </w:r>
      <w:r>
        <w:rPr>
          <w:bCs/>
        </w:rPr>
        <w:t>форматорных подстанций.</w:t>
      </w:r>
    </w:p>
    <w:p w14:paraId="7ADBEA0D" w14:textId="61AEE4F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504878FC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 xml:space="preserve">1.7 </w:t>
      </w:r>
      <w:r w:rsidRPr="00736292">
        <w:rPr>
          <w:b/>
          <w:bCs/>
        </w:rPr>
        <w:t>Отчетная информация о ходе реализации проекта (в отношении реализуемых проектов), в том числе результаты закупок товаров, работ и услуг</w:t>
      </w:r>
    </w:p>
    <w:p w14:paraId="139B0E00" w14:textId="77777777" w:rsidR="0053179C" w:rsidRPr="00736292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3E74C415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2093284E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 xml:space="preserve">1.8 </w:t>
      </w:r>
      <w:r w:rsidRPr="00736292">
        <w:rPr>
          <w:b/>
          <w:bCs/>
        </w:rPr>
        <w:t xml:space="preserve">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736292">
        <w:rPr>
          <w:b/>
          <w:bCs/>
        </w:rPr>
        <w:t>энергопринимающих</w:t>
      </w:r>
      <w:proofErr w:type="spellEnd"/>
      <w:r w:rsidRPr="00736292">
        <w:rPr>
          <w:b/>
          <w:bCs/>
        </w:rPr>
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</w:t>
      </w:r>
    </w:p>
    <w:p w14:paraId="25F3EC63" w14:textId="77777777" w:rsidR="0053179C" w:rsidRPr="00736292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19C04EBC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019941B1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 xml:space="preserve">1.9 </w:t>
      </w:r>
      <w:r w:rsidRPr="00736292">
        <w:rPr>
          <w:b/>
          <w:bCs/>
        </w:rPr>
        <w:t>Информация об определенных договорами об осуществлении технологического присоединения к электрическим сетям обязательствах сетевой организации по выполнению мероприятий, предусмотренных инвестиционным проектом</w:t>
      </w:r>
    </w:p>
    <w:p w14:paraId="2E48B7F4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36C5D43F" w14:textId="77777777" w:rsidR="0053179C" w:rsidRPr="00736292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5E6C4F19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 xml:space="preserve">1.10 </w:t>
      </w:r>
      <w:r w:rsidRPr="00736292">
        <w:rPr>
          <w:b/>
          <w:bCs/>
        </w:rPr>
        <w:t>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</w:t>
      </w:r>
    </w:p>
    <w:p w14:paraId="7523C05D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7797A665" w14:textId="77777777" w:rsidR="0053179C" w:rsidRPr="00736292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0FD75F37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 xml:space="preserve">1.11 </w:t>
      </w:r>
      <w:r w:rsidRPr="00736292">
        <w:rPr>
          <w:b/>
          <w:bCs/>
        </w:rPr>
        <w:t>Информация о степени загрузки вводимых после строительства объектов электросетевого хозяйства</w:t>
      </w:r>
    </w:p>
    <w:p w14:paraId="5F498359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2240D21D" w14:textId="77777777" w:rsidR="0053179C" w:rsidRPr="00736292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14:paraId="2BC961C7" w14:textId="77777777" w:rsidR="0053179C" w:rsidRPr="00904755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1.12</w:t>
      </w:r>
      <w:r w:rsidRPr="00904755">
        <w:rPr>
          <w:b/>
          <w:bCs/>
        </w:rPr>
        <w:t xml:space="preserve"> </w:t>
      </w:r>
      <w:r w:rsidRPr="00736292">
        <w:rPr>
          <w:b/>
          <w:bCs/>
        </w:rPr>
        <w:t>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</w:t>
      </w:r>
    </w:p>
    <w:p w14:paraId="181F1574" w14:textId="379DC47F" w:rsidR="0053179C" w:rsidRPr="00982315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7B86BC75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7AF8D2FB" w14:textId="77777777" w:rsidR="0053179C" w:rsidRPr="00904755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1.13</w:t>
      </w:r>
      <w:r w:rsidRPr="00904755">
        <w:rPr>
          <w:b/>
          <w:bCs/>
        </w:rPr>
        <w:t xml:space="preserve"> </w:t>
      </w:r>
      <w:r w:rsidRPr="00DA2E52">
        <w:rPr>
          <w:b/>
          <w:bCs/>
        </w:rPr>
        <w:t xml:space="preserve">Информация о максимальной мощности </w:t>
      </w:r>
      <w:proofErr w:type="spellStart"/>
      <w:r w:rsidRPr="00DA2E52">
        <w:rPr>
          <w:b/>
          <w:bCs/>
        </w:rPr>
        <w:t>энергопринимающих</w:t>
      </w:r>
      <w:proofErr w:type="spellEnd"/>
      <w:r w:rsidRPr="00DA2E52">
        <w:rPr>
          <w:b/>
          <w:bCs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</w:t>
      </w:r>
    </w:p>
    <w:p w14:paraId="4E2C8851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6201DA05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7C15D9AA" w14:textId="77777777" w:rsidR="0053179C" w:rsidRDefault="0053179C" w:rsidP="00D6057A">
      <w:pPr>
        <w:ind w:firstLine="709"/>
        <w:contextualSpacing/>
        <w:jc w:val="both"/>
        <w:rPr>
          <w:b/>
          <w:bCs/>
        </w:rPr>
      </w:pPr>
      <w:r>
        <w:rPr>
          <w:b/>
          <w:bCs/>
        </w:rPr>
        <w:t xml:space="preserve">1.14 </w:t>
      </w:r>
      <w:r w:rsidRPr="00DA2E52">
        <w:rPr>
          <w:b/>
          <w:bCs/>
        </w:rPr>
        <w:t>Информация об объектах электроэнергетики, содержащаяся в схеме и программе развития электроэнергетических систем России</w:t>
      </w:r>
    </w:p>
    <w:p w14:paraId="2213D569" w14:textId="77777777" w:rsidR="0053179C" w:rsidRDefault="0053179C" w:rsidP="00D6057A">
      <w:pPr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6DEEEBBE" w14:textId="77777777" w:rsidR="0053179C" w:rsidRDefault="0053179C" w:rsidP="00D6057A">
      <w:pPr>
        <w:ind w:firstLine="709"/>
        <w:contextualSpacing/>
        <w:jc w:val="both"/>
        <w:rPr>
          <w:b/>
          <w:bCs/>
        </w:rPr>
      </w:pPr>
    </w:p>
    <w:p w14:paraId="01D6C69F" w14:textId="77777777" w:rsidR="0053179C" w:rsidRPr="00DA2E52" w:rsidRDefault="0053179C" w:rsidP="00D6057A">
      <w:pPr>
        <w:ind w:firstLine="709"/>
        <w:contextualSpacing/>
        <w:jc w:val="both"/>
        <w:rPr>
          <w:rFonts w:eastAsia="Plumb-Regular"/>
          <w:b/>
        </w:rPr>
      </w:pPr>
      <w:r>
        <w:rPr>
          <w:b/>
          <w:bCs/>
        </w:rPr>
        <w:t>1.15</w:t>
      </w:r>
      <w:r w:rsidRPr="00DA2E52">
        <w:rPr>
          <w:b/>
          <w:bCs/>
        </w:rPr>
        <w:t xml:space="preserve"> </w:t>
      </w:r>
      <w:r w:rsidRPr="00F7622D">
        <w:rPr>
          <w:rFonts w:eastAsia="Plumb-Regular"/>
          <w:b/>
        </w:rPr>
        <w:t xml:space="preserve">Информация об объектах электроэнергетики, содержащаяся до даты утверждения в 2024 году схемы и программы развития электроэнергетических систем </w:t>
      </w:r>
      <w:r w:rsidRPr="00F7622D">
        <w:rPr>
          <w:rFonts w:eastAsia="Plumb-Regular"/>
          <w:b/>
        </w:rPr>
        <w:lastRenderedPageBreak/>
        <w:t>России на очередной период реализации - в схемах и программах перспективного развития электроэнергетики Томской области</w:t>
      </w:r>
    </w:p>
    <w:p w14:paraId="1D76675D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210D3C17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13C6F0A3" w14:textId="77777777" w:rsidR="0053179C" w:rsidRPr="00F16DAA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F16DAA">
        <w:rPr>
          <w:b/>
          <w:bCs/>
        </w:rPr>
        <w:t>1.</w:t>
      </w:r>
      <w:r>
        <w:rPr>
          <w:b/>
          <w:bCs/>
        </w:rPr>
        <w:t>16</w:t>
      </w:r>
      <w:r w:rsidRPr="00F16DAA">
        <w:rPr>
          <w:b/>
          <w:bCs/>
        </w:rPr>
        <w:t xml:space="preserve"> </w:t>
      </w:r>
      <w:r w:rsidRPr="00DB0738">
        <w:rPr>
          <w:b/>
          <w:bCs/>
        </w:rPr>
        <w:t>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</w:t>
      </w:r>
    </w:p>
    <w:p w14:paraId="62682FC1" w14:textId="77777777" w:rsidR="0053179C" w:rsidRDefault="0053179C" w:rsidP="00D6057A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Не требуется</w:t>
      </w:r>
    </w:p>
    <w:p w14:paraId="041EFAB1" w14:textId="77777777" w:rsidR="0053179C" w:rsidRPr="0053179C" w:rsidRDefault="0053179C" w:rsidP="00D6057A">
      <w:pPr>
        <w:ind w:firstLine="709"/>
        <w:contextualSpacing/>
        <w:jc w:val="both"/>
        <w:rPr>
          <w:rFonts w:eastAsia="Plumb-Regular"/>
        </w:rPr>
      </w:pPr>
    </w:p>
    <w:p w14:paraId="338414B2" w14:textId="77777777" w:rsidR="0053179C" w:rsidRDefault="0053179C" w:rsidP="00D6057A">
      <w:pPr>
        <w:ind w:firstLine="709"/>
        <w:contextualSpacing/>
        <w:jc w:val="both"/>
        <w:rPr>
          <w:rFonts w:eastAsia="Plumb-Regular"/>
          <w:b/>
        </w:rPr>
      </w:pPr>
      <w:r>
        <w:rPr>
          <w:rFonts w:eastAsia="Plumb-Regular"/>
          <w:b/>
        </w:rPr>
        <w:t xml:space="preserve">1.17 </w:t>
      </w:r>
      <w:r w:rsidRPr="00F7622D">
        <w:rPr>
          <w:rFonts w:eastAsia="Plumb-Regular"/>
          <w:b/>
        </w:rPr>
        <w:t>Информация о предусмотренных инвестиционным проектом мероприятиях по проектированию, строительству, реконструкции, модернизации и (или) техническому перевооружению объектов электросетевого хозяйства для обеспечения возможности вывода объектов электроэнергетики, их оборудования, устройств из эксплуатации</w:t>
      </w:r>
    </w:p>
    <w:p w14:paraId="3467F01C" w14:textId="77777777" w:rsidR="0053179C" w:rsidRDefault="0053179C" w:rsidP="00D6057A">
      <w:pPr>
        <w:ind w:firstLine="709"/>
        <w:contextualSpacing/>
        <w:jc w:val="both"/>
        <w:rPr>
          <w:rFonts w:eastAsia="Plumb-Regular"/>
        </w:rPr>
      </w:pPr>
      <w:r>
        <w:rPr>
          <w:rFonts w:eastAsia="Plumb-Regular"/>
        </w:rPr>
        <w:t>Нет данных</w:t>
      </w:r>
    </w:p>
    <w:p w14:paraId="1273369F" w14:textId="77777777" w:rsidR="0053179C" w:rsidRPr="00F7622D" w:rsidRDefault="0053179C" w:rsidP="00D6057A">
      <w:pPr>
        <w:ind w:firstLine="709"/>
        <w:contextualSpacing/>
        <w:jc w:val="both"/>
        <w:rPr>
          <w:rFonts w:eastAsia="Plumb-Regular"/>
        </w:rPr>
      </w:pPr>
    </w:p>
    <w:p w14:paraId="69031A12" w14:textId="77777777" w:rsidR="0053179C" w:rsidRDefault="0053179C" w:rsidP="00D6057A">
      <w:pPr>
        <w:ind w:firstLine="709"/>
        <w:contextualSpacing/>
        <w:jc w:val="both"/>
        <w:rPr>
          <w:rFonts w:eastAsia="Plumb-Regular"/>
          <w:b/>
        </w:rPr>
      </w:pPr>
      <w:r>
        <w:rPr>
          <w:rFonts w:eastAsia="Plumb-Regular"/>
          <w:b/>
        </w:rPr>
        <w:t xml:space="preserve">1.18 </w:t>
      </w:r>
      <w:r w:rsidRPr="00F7622D">
        <w:rPr>
          <w:rFonts w:eastAsia="Plumb-Regular"/>
          <w:b/>
        </w:rPr>
        <w:t>Информация об объектах электроэнергетики, предусмотренных инвестиционным проектом, содержащаяся в перечнях технических решений по перспективному развитию электроэнергетики</w:t>
      </w:r>
    </w:p>
    <w:p w14:paraId="3F7ADA61" w14:textId="18AA8085" w:rsidR="004432DF" w:rsidRPr="002E4E77" w:rsidRDefault="0053179C" w:rsidP="000B3E1E">
      <w:pPr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>
        <w:rPr>
          <w:bCs/>
        </w:rPr>
        <w:t>Не требуется</w:t>
      </w:r>
    </w:p>
    <w:sectPr w:rsidR="004432DF" w:rsidRPr="002E4E77" w:rsidSect="00B64A26">
      <w:pgSz w:w="11907" w:h="16840"/>
      <w:pgMar w:top="568" w:right="992" w:bottom="851" w:left="284" w:header="720" w:footer="386" w:gutter="567"/>
      <w:cols w:space="708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 w15:restartNumberingAfterBreak="0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6" w15:restartNumberingAfterBreak="0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5560A"/>
    <w:multiLevelType w:val="hybridMultilevel"/>
    <w:tmpl w:val="0922C48A"/>
    <w:lvl w:ilvl="0" w:tplc="9092A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2064E6"/>
    <w:multiLevelType w:val="multilevel"/>
    <w:tmpl w:val="16AE55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5" w15:restartNumberingAfterBreak="0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 w15:restartNumberingAfterBreak="0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5DE08"/>
    <w:multiLevelType w:val="multilevel"/>
    <w:tmpl w:val="6025DE08"/>
    <w:name w:val="Нумерованный список 2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1"/>
      <w:numFmt w:val="decimal"/>
      <w:lvlText w:val="%1.%2."/>
      <w:lvlJc w:val="left"/>
      <w:rPr>
        <w:strike w:val="0"/>
        <w:dstrike w:val="0"/>
      </w:rPr>
    </w:lvl>
    <w:lvl w:ilvl="2">
      <w:start w:val="1"/>
      <w:numFmt w:val="decimal"/>
      <w:lvlText w:val="%1.%2.%3."/>
      <w:lvlJc w:val="left"/>
      <w:rPr>
        <w:strike w:val="0"/>
        <w:dstrike w:val="0"/>
      </w:rPr>
    </w:lvl>
    <w:lvl w:ilvl="3">
      <w:start w:val="1"/>
      <w:numFmt w:val="decimal"/>
      <w:lvlText w:val="%1.%2.%3.%4."/>
      <w:lvlJc w:val="left"/>
      <w:rPr>
        <w:strike w:val="0"/>
        <w:dstrike w:val="0"/>
      </w:rPr>
    </w:lvl>
    <w:lvl w:ilvl="4">
      <w:start w:val="1"/>
      <w:numFmt w:val="decimal"/>
      <w:lvlText w:val="%1.%2.%3.%4.%5."/>
      <w:lvlJc w:val="left"/>
      <w:rPr>
        <w:strike w:val="0"/>
        <w:dstrike w:val="0"/>
      </w:rPr>
    </w:lvl>
    <w:lvl w:ilvl="5">
      <w:start w:val="1"/>
      <w:numFmt w:val="decimal"/>
      <w:lvlText w:val="%1.%2.%3.%4.%5.%6."/>
      <w:lvlJc w:val="left"/>
      <w:rPr>
        <w:strike w:val="0"/>
        <w:dstrike w:val="0"/>
      </w:rPr>
    </w:lvl>
    <w:lvl w:ilvl="6">
      <w:start w:val="1"/>
      <w:numFmt w:val="decimal"/>
      <w:lvlText w:val="%1.%2.%3.%4.%5.%6.%7."/>
      <w:lvlJc w:val="left"/>
      <w:rPr>
        <w:strike w:val="0"/>
        <w:dstrike w:val="0"/>
      </w:rPr>
    </w:lvl>
    <w:lvl w:ilvl="7">
      <w:start w:val="1"/>
      <w:numFmt w:val="decimal"/>
      <w:lvlText w:val="%1.%2.%3.%4.%5.%6.%7.%8."/>
      <w:lvlJc w:val="left"/>
      <w:rPr>
        <w:strike w:val="0"/>
        <w:dstrike w:val="0"/>
      </w:rPr>
    </w:lvl>
    <w:lvl w:ilvl="8">
      <w:start w:val="1"/>
      <w:numFmt w:val="decimal"/>
      <w:lvlText w:val="%1.%2.%3.%4.%5.%6.%7.%8.%9"/>
      <w:lvlJc w:val="left"/>
      <w:rPr>
        <w:strike w:val="0"/>
        <w:dstrike w:val="0"/>
      </w:rPr>
    </w:lvl>
  </w:abstractNum>
  <w:abstractNum w:abstractNumId="31" w15:restartNumberingAfterBreak="0">
    <w:nsid w:val="6025DE09"/>
    <w:multiLevelType w:val="multilevel"/>
    <w:tmpl w:val="6025DE09"/>
    <w:name w:val="Нумерованный список 3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1"/>
      <w:numFmt w:val="decimal"/>
      <w:lvlText w:val="%2."/>
      <w:lvlJc w:val="left"/>
      <w:rPr>
        <w:rFonts w:ascii="Times New Roman" w:hAnsi="Times New Roman"/>
        <w:strike w:val="0"/>
        <w:dstrike w:val="0"/>
      </w:rPr>
    </w:lvl>
    <w:lvl w:ilvl="2">
      <w:start w:val="1"/>
      <w:numFmt w:val="decimal"/>
      <w:lvlText w:val="%1.%2.%3"/>
      <w:lvlJc w:val="left"/>
      <w:rPr>
        <w:strike w:val="0"/>
        <w:dstrike w:val="0"/>
      </w:rPr>
    </w:lvl>
    <w:lvl w:ilvl="3">
      <w:start w:val="1"/>
      <w:numFmt w:val="decimal"/>
      <w:lvlText w:val="%1.%2.%3.%4"/>
      <w:lvlJc w:val="left"/>
      <w:rPr>
        <w:strike w:val="0"/>
        <w:dstrike w:val="0"/>
      </w:rPr>
    </w:lvl>
    <w:lvl w:ilvl="4">
      <w:start w:val="1"/>
      <w:numFmt w:val="decimal"/>
      <w:lvlText w:val="%1.%2.%3.%4.%5"/>
      <w:lvlJc w:val="left"/>
      <w:rPr>
        <w:strike w:val="0"/>
        <w:dstrike w:val="0"/>
      </w:rPr>
    </w:lvl>
    <w:lvl w:ilvl="5">
      <w:start w:val="1"/>
      <w:numFmt w:val="decimal"/>
      <w:lvlText w:val="%1.%2.%3.%4.%5.%6"/>
      <w:lvlJc w:val="left"/>
      <w:rPr>
        <w:strike w:val="0"/>
        <w:dstrike w:val="0"/>
      </w:rPr>
    </w:lvl>
    <w:lvl w:ilvl="6">
      <w:start w:val="1"/>
      <w:numFmt w:val="decimal"/>
      <w:lvlText w:val="%1.%2.%3.%4.%5.%6.%7"/>
      <w:lvlJc w:val="left"/>
      <w:rPr>
        <w:strike w:val="0"/>
        <w:dstrike w:val="0"/>
      </w:rPr>
    </w:lvl>
    <w:lvl w:ilvl="7">
      <w:start w:val="1"/>
      <w:numFmt w:val="decimal"/>
      <w:lvlText w:val="%1.%2.%3.%4.%5.%6.%7.%8"/>
      <w:lvlJc w:val="left"/>
      <w:rPr>
        <w:strike w:val="0"/>
        <w:dstrike w:val="0"/>
      </w:rPr>
    </w:lvl>
    <w:lvl w:ilvl="8">
      <w:start w:val="1"/>
      <w:numFmt w:val="decimal"/>
      <w:lvlText w:val="%1.%2.%3.%4.%5.%6.%7.%8.%9"/>
      <w:lvlJc w:val="left"/>
      <w:rPr>
        <w:strike w:val="0"/>
        <w:dstrike w:val="0"/>
      </w:rPr>
    </w:lvl>
  </w:abstractNum>
  <w:abstractNum w:abstractNumId="32" w15:restartNumberingAfterBreak="0">
    <w:nsid w:val="62180FAA"/>
    <w:multiLevelType w:val="multilevel"/>
    <w:tmpl w:val="33CC9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D271B"/>
    <w:multiLevelType w:val="hybridMultilevel"/>
    <w:tmpl w:val="5A2842C6"/>
    <w:lvl w:ilvl="0" w:tplc="9656C9EA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9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3"/>
  </w:num>
  <w:num w:numId="3">
    <w:abstractNumId w:val="0"/>
  </w:num>
  <w:num w:numId="4">
    <w:abstractNumId w:val="9"/>
  </w:num>
  <w:num w:numId="5">
    <w:abstractNumId w:val="29"/>
  </w:num>
  <w:num w:numId="6">
    <w:abstractNumId w:val="2"/>
  </w:num>
  <w:num w:numId="7">
    <w:abstractNumId w:val="15"/>
  </w:num>
  <w:num w:numId="8">
    <w:abstractNumId w:val="7"/>
  </w:num>
  <w:num w:numId="9">
    <w:abstractNumId w:val="38"/>
  </w:num>
  <w:num w:numId="10">
    <w:abstractNumId w:val="21"/>
  </w:num>
  <w:num w:numId="11">
    <w:abstractNumId w:val="28"/>
  </w:num>
  <w:num w:numId="12">
    <w:abstractNumId w:val="34"/>
  </w:num>
  <w:num w:numId="13">
    <w:abstractNumId w:val="4"/>
  </w:num>
  <w:num w:numId="14">
    <w:abstractNumId w:val="25"/>
  </w:num>
  <w:num w:numId="15">
    <w:abstractNumId w:val="22"/>
  </w:num>
  <w:num w:numId="16">
    <w:abstractNumId w:val="12"/>
  </w:num>
  <w:num w:numId="17">
    <w:abstractNumId w:val="16"/>
  </w:num>
  <w:num w:numId="18">
    <w:abstractNumId w:val="13"/>
  </w:num>
  <w:num w:numId="19">
    <w:abstractNumId w:val="6"/>
  </w:num>
  <w:num w:numId="20">
    <w:abstractNumId w:val="36"/>
  </w:num>
  <w:num w:numId="21">
    <w:abstractNumId w:val="39"/>
  </w:num>
  <w:num w:numId="22">
    <w:abstractNumId w:val="23"/>
  </w:num>
  <w:num w:numId="23">
    <w:abstractNumId w:val="10"/>
  </w:num>
  <w:num w:numId="24">
    <w:abstractNumId w:val="37"/>
  </w:num>
  <w:num w:numId="25">
    <w:abstractNumId w:val="24"/>
  </w:num>
  <w:num w:numId="26">
    <w:abstractNumId w:val="1"/>
  </w:num>
  <w:num w:numId="27">
    <w:abstractNumId w:val="35"/>
  </w:num>
  <w:num w:numId="28">
    <w:abstractNumId w:val="11"/>
  </w:num>
  <w:num w:numId="29">
    <w:abstractNumId w:val="26"/>
  </w:num>
  <w:num w:numId="30">
    <w:abstractNumId w:val="5"/>
  </w:num>
  <w:num w:numId="31">
    <w:abstractNumId w:val="3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20"/>
  </w:num>
  <w:num w:numId="36">
    <w:abstractNumId w:val="17"/>
  </w:num>
  <w:num w:numId="37">
    <w:abstractNumId w:val="8"/>
  </w:num>
  <w:num w:numId="38">
    <w:abstractNumId w:val="14"/>
  </w:num>
  <w:num w:numId="39">
    <w:abstractNumId w:val="30"/>
  </w:num>
  <w:num w:numId="40">
    <w:abstractNumId w:val="31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39"/>
    <w:rsid w:val="00001857"/>
    <w:rsid w:val="00001DF2"/>
    <w:rsid w:val="00003F0C"/>
    <w:rsid w:val="00005120"/>
    <w:rsid w:val="00005EFF"/>
    <w:rsid w:val="00010C6B"/>
    <w:rsid w:val="000129B9"/>
    <w:rsid w:val="000148E1"/>
    <w:rsid w:val="00017879"/>
    <w:rsid w:val="00021586"/>
    <w:rsid w:val="0003180A"/>
    <w:rsid w:val="0003275C"/>
    <w:rsid w:val="000362E0"/>
    <w:rsid w:val="00047947"/>
    <w:rsid w:val="00051869"/>
    <w:rsid w:val="000532A9"/>
    <w:rsid w:val="000533A0"/>
    <w:rsid w:val="000535B2"/>
    <w:rsid w:val="00055B63"/>
    <w:rsid w:val="000571F5"/>
    <w:rsid w:val="00057DAC"/>
    <w:rsid w:val="000621A5"/>
    <w:rsid w:val="00063464"/>
    <w:rsid w:val="00065562"/>
    <w:rsid w:val="00065670"/>
    <w:rsid w:val="000659CB"/>
    <w:rsid w:val="000677AC"/>
    <w:rsid w:val="00070E4B"/>
    <w:rsid w:val="00073C61"/>
    <w:rsid w:val="00073EB9"/>
    <w:rsid w:val="00076CEB"/>
    <w:rsid w:val="00077E5B"/>
    <w:rsid w:val="000819D3"/>
    <w:rsid w:val="0008235E"/>
    <w:rsid w:val="00083EF1"/>
    <w:rsid w:val="0008433A"/>
    <w:rsid w:val="00087295"/>
    <w:rsid w:val="0009003B"/>
    <w:rsid w:val="0009180D"/>
    <w:rsid w:val="00095AE2"/>
    <w:rsid w:val="00097C63"/>
    <w:rsid w:val="000A410B"/>
    <w:rsid w:val="000A501C"/>
    <w:rsid w:val="000B0B3B"/>
    <w:rsid w:val="000B3E1E"/>
    <w:rsid w:val="000B495A"/>
    <w:rsid w:val="000C42DD"/>
    <w:rsid w:val="000C511F"/>
    <w:rsid w:val="000C7376"/>
    <w:rsid w:val="000D0941"/>
    <w:rsid w:val="000D190E"/>
    <w:rsid w:val="000D2BF9"/>
    <w:rsid w:val="000D6173"/>
    <w:rsid w:val="000D67E5"/>
    <w:rsid w:val="000D79D3"/>
    <w:rsid w:val="000E4B9A"/>
    <w:rsid w:val="000E5E5F"/>
    <w:rsid w:val="000E6880"/>
    <w:rsid w:val="000F037C"/>
    <w:rsid w:val="000F15C4"/>
    <w:rsid w:val="000F42FA"/>
    <w:rsid w:val="000F4E7E"/>
    <w:rsid w:val="000F694D"/>
    <w:rsid w:val="001013A7"/>
    <w:rsid w:val="00101CCA"/>
    <w:rsid w:val="00110C87"/>
    <w:rsid w:val="00110FD1"/>
    <w:rsid w:val="00113DCC"/>
    <w:rsid w:val="00126B70"/>
    <w:rsid w:val="00131F1D"/>
    <w:rsid w:val="00134D51"/>
    <w:rsid w:val="00135D8E"/>
    <w:rsid w:val="00144E38"/>
    <w:rsid w:val="0014644C"/>
    <w:rsid w:val="0015507F"/>
    <w:rsid w:val="00157BE3"/>
    <w:rsid w:val="00157CDD"/>
    <w:rsid w:val="001607B6"/>
    <w:rsid w:val="00165858"/>
    <w:rsid w:val="0016599D"/>
    <w:rsid w:val="00172DD9"/>
    <w:rsid w:val="0017333D"/>
    <w:rsid w:val="00175384"/>
    <w:rsid w:val="001763CD"/>
    <w:rsid w:val="00180536"/>
    <w:rsid w:val="00180EA5"/>
    <w:rsid w:val="00184313"/>
    <w:rsid w:val="001854B8"/>
    <w:rsid w:val="001865BC"/>
    <w:rsid w:val="00193B7C"/>
    <w:rsid w:val="001943F9"/>
    <w:rsid w:val="00197BC0"/>
    <w:rsid w:val="001A5E42"/>
    <w:rsid w:val="001B0919"/>
    <w:rsid w:val="001B2369"/>
    <w:rsid w:val="001B4436"/>
    <w:rsid w:val="001B5BEA"/>
    <w:rsid w:val="001B5F2B"/>
    <w:rsid w:val="001C3C3D"/>
    <w:rsid w:val="001C759F"/>
    <w:rsid w:val="001D129F"/>
    <w:rsid w:val="001D2999"/>
    <w:rsid w:val="001D40F1"/>
    <w:rsid w:val="001D56C8"/>
    <w:rsid w:val="001D7BD3"/>
    <w:rsid w:val="001E5DA1"/>
    <w:rsid w:val="001E64BF"/>
    <w:rsid w:val="001E7863"/>
    <w:rsid w:val="001F6579"/>
    <w:rsid w:val="00200731"/>
    <w:rsid w:val="002063C0"/>
    <w:rsid w:val="00210068"/>
    <w:rsid w:val="00211381"/>
    <w:rsid w:val="00213362"/>
    <w:rsid w:val="00213E09"/>
    <w:rsid w:val="002158D4"/>
    <w:rsid w:val="00216986"/>
    <w:rsid w:val="00220ED5"/>
    <w:rsid w:val="002224BF"/>
    <w:rsid w:val="002250BC"/>
    <w:rsid w:val="00225ADA"/>
    <w:rsid w:val="00231578"/>
    <w:rsid w:val="0023212A"/>
    <w:rsid w:val="00235CA8"/>
    <w:rsid w:val="002367CA"/>
    <w:rsid w:val="00237EA4"/>
    <w:rsid w:val="00243A73"/>
    <w:rsid w:val="00256F4E"/>
    <w:rsid w:val="00263C03"/>
    <w:rsid w:val="002715F8"/>
    <w:rsid w:val="00275B9F"/>
    <w:rsid w:val="0028228E"/>
    <w:rsid w:val="002836F0"/>
    <w:rsid w:val="002846A0"/>
    <w:rsid w:val="00292D69"/>
    <w:rsid w:val="00294429"/>
    <w:rsid w:val="00294E3A"/>
    <w:rsid w:val="00297092"/>
    <w:rsid w:val="002A02A8"/>
    <w:rsid w:val="002A0D94"/>
    <w:rsid w:val="002A234A"/>
    <w:rsid w:val="002A290C"/>
    <w:rsid w:val="002A4F57"/>
    <w:rsid w:val="002A7729"/>
    <w:rsid w:val="002B48AB"/>
    <w:rsid w:val="002C26EF"/>
    <w:rsid w:val="002C51A5"/>
    <w:rsid w:val="002C595B"/>
    <w:rsid w:val="002C69E8"/>
    <w:rsid w:val="002D37BE"/>
    <w:rsid w:val="002E0597"/>
    <w:rsid w:val="002E2E82"/>
    <w:rsid w:val="002E3D32"/>
    <w:rsid w:val="002E4CCE"/>
    <w:rsid w:val="002E4E77"/>
    <w:rsid w:val="002E6B72"/>
    <w:rsid w:val="002E6F8A"/>
    <w:rsid w:val="002F032E"/>
    <w:rsid w:val="002F3D72"/>
    <w:rsid w:val="002F4131"/>
    <w:rsid w:val="002F5C4E"/>
    <w:rsid w:val="002F612A"/>
    <w:rsid w:val="002F7450"/>
    <w:rsid w:val="0030316A"/>
    <w:rsid w:val="00313976"/>
    <w:rsid w:val="00316F40"/>
    <w:rsid w:val="0031732C"/>
    <w:rsid w:val="0031779D"/>
    <w:rsid w:val="00323724"/>
    <w:rsid w:val="00335DF9"/>
    <w:rsid w:val="00336DDD"/>
    <w:rsid w:val="00337358"/>
    <w:rsid w:val="00343013"/>
    <w:rsid w:val="0034667C"/>
    <w:rsid w:val="00350AAA"/>
    <w:rsid w:val="00350CF5"/>
    <w:rsid w:val="0035343D"/>
    <w:rsid w:val="0035443C"/>
    <w:rsid w:val="00366F00"/>
    <w:rsid w:val="00371C9F"/>
    <w:rsid w:val="00374620"/>
    <w:rsid w:val="00382135"/>
    <w:rsid w:val="00391962"/>
    <w:rsid w:val="00393FDE"/>
    <w:rsid w:val="0039448E"/>
    <w:rsid w:val="003A2878"/>
    <w:rsid w:val="003B303D"/>
    <w:rsid w:val="003C34EC"/>
    <w:rsid w:val="003D1882"/>
    <w:rsid w:val="003D1E18"/>
    <w:rsid w:val="003D3422"/>
    <w:rsid w:val="003D40B8"/>
    <w:rsid w:val="003E08A4"/>
    <w:rsid w:val="003E41CB"/>
    <w:rsid w:val="003E4B4D"/>
    <w:rsid w:val="003E585B"/>
    <w:rsid w:val="003E6C85"/>
    <w:rsid w:val="003F0FC7"/>
    <w:rsid w:val="0040107D"/>
    <w:rsid w:val="00403521"/>
    <w:rsid w:val="004040B2"/>
    <w:rsid w:val="00406342"/>
    <w:rsid w:val="00411C03"/>
    <w:rsid w:val="00412955"/>
    <w:rsid w:val="00412ADD"/>
    <w:rsid w:val="004137F7"/>
    <w:rsid w:val="00413E68"/>
    <w:rsid w:val="00415FF8"/>
    <w:rsid w:val="0042037C"/>
    <w:rsid w:val="004242CB"/>
    <w:rsid w:val="00430C3E"/>
    <w:rsid w:val="00435484"/>
    <w:rsid w:val="00440ACD"/>
    <w:rsid w:val="00441DD9"/>
    <w:rsid w:val="004432DF"/>
    <w:rsid w:val="00451426"/>
    <w:rsid w:val="00451B9C"/>
    <w:rsid w:val="00453AAE"/>
    <w:rsid w:val="004555C9"/>
    <w:rsid w:val="004563FC"/>
    <w:rsid w:val="00457505"/>
    <w:rsid w:val="004600CB"/>
    <w:rsid w:val="00470739"/>
    <w:rsid w:val="00474AF6"/>
    <w:rsid w:val="0048700C"/>
    <w:rsid w:val="004877CF"/>
    <w:rsid w:val="004909C6"/>
    <w:rsid w:val="00490C63"/>
    <w:rsid w:val="004913BB"/>
    <w:rsid w:val="004939D9"/>
    <w:rsid w:val="004943A0"/>
    <w:rsid w:val="0049784B"/>
    <w:rsid w:val="004A059B"/>
    <w:rsid w:val="004A72F7"/>
    <w:rsid w:val="004B7626"/>
    <w:rsid w:val="004D3B70"/>
    <w:rsid w:val="004E4995"/>
    <w:rsid w:val="004E759A"/>
    <w:rsid w:val="004F0383"/>
    <w:rsid w:val="004F5E47"/>
    <w:rsid w:val="00500CD8"/>
    <w:rsid w:val="005046EB"/>
    <w:rsid w:val="00504BAF"/>
    <w:rsid w:val="00516565"/>
    <w:rsid w:val="00521383"/>
    <w:rsid w:val="005218DE"/>
    <w:rsid w:val="00521F28"/>
    <w:rsid w:val="00524CD0"/>
    <w:rsid w:val="0053179C"/>
    <w:rsid w:val="005346BD"/>
    <w:rsid w:val="00537505"/>
    <w:rsid w:val="005414E9"/>
    <w:rsid w:val="005422D9"/>
    <w:rsid w:val="00542D67"/>
    <w:rsid w:val="00554787"/>
    <w:rsid w:val="00554C44"/>
    <w:rsid w:val="005637FD"/>
    <w:rsid w:val="005764EE"/>
    <w:rsid w:val="00576D3F"/>
    <w:rsid w:val="0058110D"/>
    <w:rsid w:val="005848DB"/>
    <w:rsid w:val="0058766A"/>
    <w:rsid w:val="00591D24"/>
    <w:rsid w:val="00591EDB"/>
    <w:rsid w:val="00596626"/>
    <w:rsid w:val="005A1E76"/>
    <w:rsid w:val="005A340C"/>
    <w:rsid w:val="005A3EBC"/>
    <w:rsid w:val="005A4CB5"/>
    <w:rsid w:val="005A4D97"/>
    <w:rsid w:val="005B40F1"/>
    <w:rsid w:val="005B6CEB"/>
    <w:rsid w:val="005C0D52"/>
    <w:rsid w:val="005C0F75"/>
    <w:rsid w:val="005C2B53"/>
    <w:rsid w:val="005C6CE1"/>
    <w:rsid w:val="005D2733"/>
    <w:rsid w:val="005D49F6"/>
    <w:rsid w:val="005E399E"/>
    <w:rsid w:val="005E69FB"/>
    <w:rsid w:val="005F3BA4"/>
    <w:rsid w:val="005F70B7"/>
    <w:rsid w:val="006026E7"/>
    <w:rsid w:val="00604721"/>
    <w:rsid w:val="00604F7C"/>
    <w:rsid w:val="00607DAD"/>
    <w:rsid w:val="00611055"/>
    <w:rsid w:val="00612406"/>
    <w:rsid w:val="00612777"/>
    <w:rsid w:val="006160FC"/>
    <w:rsid w:val="00616EB6"/>
    <w:rsid w:val="006178BB"/>
    <w:rsid w:val="00617EAD"/>
    <w:rsid w:val="00621019"/>
    <w:rsid w:val="00625040"/>
    <w:rsid w:val="00626939"/>
    <w:rsid w:val="006350E4"/>
    <w:rsid w:val="00641719"/>
    <w:rsid w:val="0064177F"/>
    <w:rsid w:val="00654AB0"/>
    <w:rsid w:val="0066105C"/>
    <w:rsid w:val="006610F7"/>
    <w:rsid w:val="00666B22"/>
    <w:rsid w:val="006712C5"/>
    <w:rsid w:val="0067151B"/>
    <w:rsid w:val="00671F93"/>
    <w:rsid w:val="00672BA2"/>
    <w:rsid w:val="0067395B"/>
    <w:rsid w:val="0067777A"/>
    <w:rsid w:val="00680D95"/>
    <w:rsid w:val="00683DCA"/>
    <w:rsid w:val="006843A0"/>
    <w:rsid w:val="00687728"/>
    <w:rsid w:val="00692D5C"/>
    <w:rsid w:val="00693093"/>
    <w:rsid w:val="00693587"/>
    <w:rsid w:val="006A7DFC"/>
    <w:rsid w:val="006B58AD"/>
    <w:rsid w:val="006B5B35"/>
    <w:rsid w:val="006B6E2E"/>
    <w:rsid w:val="006C0761"/>
    <w:rsid w:val="006C0813"/>
    <w:rsid w:val="006C3E39"/>
    <w:rsid w:val="006C4048"/>
    <w:rsid w:val="006D5B43"/>
    <w:rsid w:val="006E0047"/>
    <w:rsid w:val="006E094F"/>
    <w:rsid w:val="006E26BF"/>
    <w:rsid w:val="006E2F63"/>
    <w:rsid w:val="006E6500"/>
    <w:rsid w:val="006F1086"/>
    <w:rsid w:val="006F198B"/>
    <w:rsid w:val="006F3857"/>
    <w:rsid w:val="0070210D"/>
    <w:rsid w:val="00705767"/>
    <w:rsid w:val="0071386B"/>
    <w:rsid w:val="00716207"/>
    <w:rsid w:val="00717A5F"/>
    <w:rsid w:val="007220C9"/>
    <w:rsid w:val="00725FAD"/>
    <w:rsid w:val="00726112"/>
    <w:rsid w:val="007263ED"/>
    <w:rsid w:val="00727D90"/>
    <w:rsid w:val="00734283"/>
    <w:rsid w:val="0073506D"/>
    <w:rsid w:val="00737541"/>
    <w:rsid w:val="00745705"/>
    <w:rsid w:val="00746048"/>
    <w:rsid w:val="00747692"/>
    <w:rsid w:val="00750BD3"/>
    <w:rsid w:val="00753F99"/>
    <w:rsid w:val="00756799"/>
    <w:rsid w:val="00756F64"/>
    <w:rsid w:val="007608E9"/>
    <w:rsid w:val="0076301C"/>
    <w:rsid w:val="00763C34"/>
    <w:rsid w:val="0076717A"/>
    <w:rsid w:val="00767A1E"/>
    <w:rsid w:val="007802EB"/>
    <w:rsid w:val="00786F0A"/>
    <w:rsid w:val="007905DD"/>
    <w:rsid w:val="00793D06"/>
    <w:rsid w:val="007A20EB"/>
    <w:rsid w:val="007A2196"/>
    <w:rsid w:val="007A4CE0"/>
    <w:rsid w:val="007A56AB"/>
    <w:rsid w:val="007A7E20"/>
    <w:rsid w:val="007B16F3"/>
    <w:rsid w:val="007B2584"/>
    <w:rsid w:val="007B3494"/>
    <w:rsid w:val="007B6069"/>
    <w:rsid w:val="007C2DA5"/>
    <w:rsid w:val="007C5240"/>
    <w:rsid w:val="007D05EE"/>
    <w:rsid w:val="007D095B"/>
    <w:rsid w:val="007D39DD"/>
    <w:rsid w:val="007D7247"/>
    <w:rsid w:val="007E0E88"/>
    <w:rsid w:val="007E1488"/>
    <w:rsid w:val="007E4785"/>
    <w:rsid w:val="007E6AAF"/>
    <w:rsid w:val="007F0ABD"/>
    <w:rsid w:val="007F14D2"/>
    <w:rsid w:val="007F6D5A"/>
    <w:rsid w:val="00800E91"/>
    <w:rsid w:val="00801A77"/>
    <w:rsid w:val="008039F0"/>
    <w:rsid w:val="0080778C"/>
    <w:rsid w:val="008106E8"/>
    <w:rsid w:val="00811000"/>
    <w:rsid w:val="0081294B"/>
    <w:rsid w:val="0081369D"/>
    <w:rsid w:val="00814F72"/>
    <w:rsid w:val="00820D2B"/>
    <w:rsid w:val="00821BEA"/>
    <w:rsid w:val="008237A4"/>
    <w:rsid w:val="00823E19"/>
    <w:rsid w:val="008265B9"/>
    <w:rsid w:val="0083088F"/>
    <w:rsid w:val="0083149D"/>
    <w:rsid w:val="00844132"/>
    <w:rsid w:val="00846293"/>
    <w:rsid w:val="00852BD8"/>
    <w:rsid w:val="008571EB"/>
    <w:rsid w:val="0086669C"/>
    <w:rsid w:val="0087305C"/>
    <w:rsid w:val="008777F9"/>
    <w:rsid w:val="00885644"/>
    <w:rsid w:val="00887812"/>
    <w:rsid w:val="00893A4F"/>
    <w:rsid w:val="00895CA0"/>
    <w:rsid w:val="008973D3"/>
    <w:rsid w:val="008974E5"/>
    <w:rsid w:val="008A26FF"/>
    <w:rsid w:val="008A5063"/>
    <w:rsid w:val="008A75EF"/>
    <w:rsid w:val="008B2A7E"/>
    <w:rsid w:val="008B45BA"/>
    <w:rsid w:val="008B7D3E"/>
    <w:rsid w:val="008C4369"/>
    <w:rsid w:val="008D14B1"/>
    <w:rsid w:val="008D2AA4"/>
    <w:rsid w:val="008D45FD"/>
    <w:rsid w:val="008E0D74"/>
    <w:rsid w:val="008E24EA"/>
    <w:rsid w:val="008E28E2"/>
    <w:rsid w:val="008E3A3E"/>
    <w:rsid w:val="008E6140"/>
    <w:rsid w:val="008E6906"/>
    <w:rsid w:val="008F225D"/>
    <w:rsid w:val="008F3141"/>
    <w:rsid w:val="009133A8"/>
    <w:rsid w:val="0091349E"/>
    <w:rsid w:val="00915ECA"/>
    <w:rsid w:val="009263EA"/>
    <w:rsid w:val="00933BB5"/>
    <w:rsid w:val="00933CB4"/>
    <w:rsid w:val="009362BB"/>
    <w:rsid w:val="009451E8"/>
    <w:rsid w:val="00952B8A"/>
    <w:rsid w:val="00960001"/>
    <w:rsid w:val="00960F8E"/>
    <w:rsid w:val="00962056"/>
    <w:rsid w:val="00970DEA"/>
    <w:rsid w:val="00974C40"/>
    <w:rsid w:val="00981F3F"/>
    <w:rsid w:val="00982315"/>
    <w:rsid w:val="00983BBF"/>
    <w:rsid w:val="00984D63"/>
    <w:rsid w:val="0098735C"/>
    <w:rsid w:val="00987B53"/>
    <w:rsid w:val="009A03A3"/>
    <w:rsid w:val="009A03B9"/>
    <w:rsid w:val="009A50A3"/>
    <w:rsid w:val="009A78AF"/>
    <w:rsid w:val="009B1262"/>
    <w:rsid w:val="009B27BE"/>
    <w:rsid w:val="009B6313"/>
    <w:rsid w:val="009C25ED"/>
    <w:rsid w:val="009D0E09"/>
    <w:rsid w:val="009D32F2"/>
    <w:rsid w:val="009D3431"/>
    <w:rsid w:val="009D7C58"/>
    <w:rsid w:val="009E162C"/>
    <w:rsid w:val="009E35A6"/>
    <w:rsid w:val="009E79E5"/>
    <w:rsid w:val="009F5D3C"/>
    <w:rsid w:val="00A042AB"/>
    <w:rsid w:val="00A077A4"/>
    <w:rsid w:val="00A1578B"/>
    <w:rsid w:val="00A171C7"/>
    <w:rsid w:val="00A20DE8"/>
    <w:rsid w:val="00A22E59"/>
    <w:rsid w:val="00A24E3D"/>
    <w:rsid w:val="00A26E03"/>
    <w:rsid w:val="00A31749"/>
    <w:rsid w:val="00A335B4"/>
    <w:rsid w:val="00A33BF1"/>
    <w:rsid w:val="00A35414"/>
    <w:rsid w:val="00A3777A"/>
    <w:rsid w:val="00A42346"/>
    <w:rsid w:val="00A42F2F"/>
    <w:rsid w:val="00A5035E"/>
    <w:rsid w:val="00A54291"/>
    <w:rsid w:val="00A60557"/>
    <w:rsid w:val="00A60BCC"/>
    <w:rsid w:val="00A634E9"/>
    <w:rsid w:val="00A74E9E"/>
    <w:rsid w:val="00A764DD"/>
    <w:rsid w:val="00A776F3"/>
    <w:rsid w:val="00A84237"/>
    <w:rsid w:val="00A86494"/>
    <w:rsid w:val="00A92658"/>
    <w:rsid w:val="00A93FE5"/>
    <w:rsid w:val="00AA2AA6"/>
    <w:rsid w:val="00AA4AD3"/>
    <w:rsid w:val="00AA5D27"/>
    <w:rsid w:val="00AA6A8B"/>
    <w:rsid w:val="00AB3072"/>
    <w:rsid w:val="00AB3896"/>
    <w:rsid w:val="00AB7DB7"/>
    <w:rsid w:val="00AC13FE"/>
    <w:rsid w:val="00AC325D"/>
    <w:rsid w:val="00AC76D1"/>
    <w:rsid w:val="00AC795F"/>
    <w:rsid w:val="00AE1768"/>
    <w:rsid w:val="00AE2783"/>
    <w:rsid w:val="00AE3DDD"/>
    <w:rsid w:val="00AE471E"/>
    <w:rsid w:val="00AF20D5"/>
    <w:rsid w:val="00AF374E"/>
    <w:rsid w:val="00B0717D"/>
    <w:rsid w:val="00B07939"/>
    <w:rsid w:val="00B15346"/>
    <w:rsid w:val="00B16FDC"/>
    <w:rsid w:val="00B223D4"/>
    <w:rsid w:val="00B23B78"/>
    <w:rsid w:val="00B253DE"/>
    <w:rsid w:val="00B31436"/>
    <w:rsid w:val="00B3356A"/>
    <w:rsid w:val="00B404EB"/>
    <w:rsid w:val="00B51264"/>
    <w:rsid w:val="00B578DC"/>
    <w:rsid w:val="00B6062A"/>
    <w:rsid w:val="00B621BC"/>
    <w:rsid w:val="00B623DF"/>
    <w:rsid w:val="00B64A26"/>
    <w:rsid w:val="00B66367"/>
    <w:rsid w:val="00B730A0"/>
    <w:rsid w:val="00B732CC"/>
    <w:rsid w:val="00B759B4"/>
    <w:rsid w:val="00B8254A"/>
    <w:rsid w:val="00B85524"/>
    <w:rsid w:val="00B865D3"/>
    <w:rsid w:val="00B865F8"/>
    <w:rsid w:val="00B93AC8"/>
    <w:rsid w:val="00B95AF4"/>
    <w:rsid w:val="00B964C9"/>
    <w:rsid w:val="00B96F66"/>
    <w:rsid w:val="00BA1E53"/>
    <w:rsid w:val="00BA4216"/>
    <w:rsid w:val="00BC0146"/>
    <w:rsid w:val="00BC1914"/>
    <w:rsid w:val="00BC27A5"/>
    <w:rsid w:val="00BC37EE"/>
    <w:rsid w:val="00BC3A73"/>
    <w:rsid w:val="00BC53A4"/>
    <w:rsid w:val="00BD0487"/>
    <w:rsid w:val="00BD0A4D"/>
    <w:rsid w:val="00BD22C2"/>
    <w:rsid w:val="00BD2842"/>
    <w:rsid w:val="00BD2F23"/>
    <w:rsid w:val="00BD36C6"/>
    <w:rsid w:val="00BD4E38"/>
    <w:rsid w:val="00BE0D4D"/>
    <w:rsid w:val="00BE3648"/>
    <w:rsid w:val="00BE4581"/>
    <w:rsid w:val="00BF42A4"/>
    <w:rsid w:val="00C00DE1"/>
    <w:rsid w:val="00C03A86"/>
    <w:rsid w:val="00C0426F"/>
    <w:rsid w:val="00C11FA8"/>
    <w:rsid w:val="00C14575"/>
    <w:rsid w:val="00C14D6A"/>
    <w:rsid w:val="00C14ECB"/>
    <w:rsid w:val="00C15D37"/>
    <w:rsid w:val="00C21F36"/>
    <w:rsid w:val="00C2517B"/>
    <w:rsid w:val="00C2523C"/>
    <w:rsid w:val="00C2587F"/>
    <w:rsid w:val="00C30488"/>
    <w:rsid w:val="00C34879"/>
    <w:rsid w:val="00C34A23"/>
    <w:rsid w:val="00C34ED3"/>
    <w:rsid w:val="00C355C2"/>
    <w:rsid w:val="00C368DC"/>
    <w:rsid w:val="00C36BA8"/>
    <w:rsid w:val="00C400E5"/>
    <w:rsid w:val="00C40AB4"/>
    <w:rsid w:val="00C456EF"/>
    <w:rsid w:val="00C46E2F"/>
    <w:rsid w:val="00C53B3C"/>
    <w:rsid w:val="00C56144"/>
    <w:rsid w:val="00C639F3"/>
    <w:rsid w:val="00C6679E"/>
    <w:rsid w:val="00C7087C"/>
    <w:rsid w:val="00C71154"/>
    <w:rsid w:val="00C829DF"/>
    <w:rsid w:val="00C83126"/>
    <w:rsid w:val="00C83D9E"/>
    <w:rsid w:val="00C83E4D"/>
    <w:rsid w:val="00C85248"/>
    <w:rsid w:val="00C87C2B"/>
    <w:rsid w:val="00C90CF5"/>
    <w:rsid w:val="00C91F96"/>
    <w:rsid w:val="00C92809"/>
    <w:rsid w:val="00C94554"/>
    <w:rsid w:val="00C96D75"/>
    <w:rsid w:val="00CA00C7"/>
    <w:rsid w:val="00CA0263"/>
    <w:rsid w:val="00CA14F1"/>
    <w:rsid w:val="00CB0F1E"/>
    <w:rsid w:val="00CB157B"/>
    <w:rsid w:val="00CB2506"/>
    <w:rsid w:val="00CB3212"/>
    <w:rsid w:val="00CB66DB"/>
    <w:rsid w:val="00CC12B7"/>
    <w:rsid w:val="00CC40B5"/>
    <w:rsid w:val="00CD3C43"/>
    <w:rsid w:val="00CD495B"/>
    <w:rsid w:val="00CE1285"/>
    <w:rsid w:val="00CE1C70"/>
    <w:rsid w:val="00CE2B03"/>
    <w:rsid w:val="00CF0691"/>
    <w:rsid w:val="00CF0806"/>
    <w:rsid w:val="00CF4D7E"/>
    <w:rsid w:val="00CF7F9D"/>
    <w:rsid w:val="00D034BD"/>
    <w:rsid w:val="00D03A94"/>
    <w:rsid w:val="00D040D3"/>
    <w:rsid w:val="00D11818"/>
    <w:rsid w:val="00D14581"/>
    <w:rsid w:val="00D17252"/>
    <w:rsid w:val="00D2608A"/>
    <w:rsid w:val="00D32CD7"/>
    <w:rsid w:val="00D43746"/>
    <w:rsid w:val="00D454E4"/>
    <w:rsid w:val="00D469A6"/>
    <w:rsid w:val="00D46F59"/>
    <w:rsid w:val="00D57B34"/>
    <w:rsid w:val="00D6057A"/>
    <w:rsid w:val="00D63E20"/>
    <w:rsid w:val="00D64424"/>
    <w:rsid w:val="00D64ABC"/>
    <w:rsid w:val="00D662F1"/>
    <w:rsid w:val="00D67E55"/>
    <w:rsid w:val="00D72E28"/>
    <w:rsid w:val="00D7367D"/>
    <w:rsid w:val="00D751A5"/>
    <w:rsid w:val="00D7605E"/>
    <w:rsid w:val="00D77C83"/>
    <w:rsid w:val="00D81D0E"/>
    <w:rsid w:val="00D83D76"/>
    <w:rsid w:val="00D9561F"/>
    <w:rsid w:val="00DA2C8E"/>
    <w:rsid w:val="00DA3FE1"/>
    <w:rsid w:val="00DC08E3"/>
    <w:rsid w:val="00DC48B3"/>
    <w:rsid w:val="00DD0551"/>
    <w:rsid w:val="00DD3113"/>
    <w:rsid w:val="00DD51E4"/>
    <w:rsid w:val="00DD570C"/>
    <w:rsid w:val="00DD7FC9"/>
    <w:rsid w:val="00DE45D4"/>
    <w:rsid w:val="00DE5517"/>
    <w:rsid w:val="00DF5801"/>
    <w:rsid w:val="00DF58C8"/>
    <w:rsid w:val="00E024AA"/>
    <w:rsid w:val="00E029C3"/>
    <w:rsid w:val="00E051BD"/>
    <w:rsid w:val="00E1005A"/>
    <w:rsid w:val="00E1302A"/>
    <w:rsid w:val="00E15831"/>
    <w:rsid w:val="00E15E2B"/>
    <w:rsid w:val="00E164B6"/>
    <w:rsid w:val="00E17D2F"/>
    <w:rsid w:val="00E21341"/>
    <w:rsid w:val="00E26E1F"/>
    <w:rsid w:val="00E3068C"/>
    <w:rsid w:val="00E35228"/>
    <w:rsid w:val="00E36392"/>
    <w:rsid w:val="00E53CBA"/>
    <w:rsid w:val="00E54AAD"/>
    <w:rsid w:val="00E55928"/>
    <w:rsid w:val="00E57865"/>
    <w:rsid w:val="00E6520A"/>
    <w:rsid w:val="00E658E2"/>
    <w:rsid w:val="00E701FF"/>
    <w:rsid w:val="00E7044C"/>
    <w:rsid w:val="00E72D9B"/>
    <w:rsid w:val="00E8096A"/>
    <w:rsid w:val="00E91BAF"/>
    <w:rsid w:val="00E93207"/>
    <w:rsid w:val="00E96BE5"/>
    <w:rsid w:val="00E96E33"/>
    <w:rsid w:val="00EA1E8A"/>
    <w:rsid w:val="00EA7B51"/>
    <w:rsid w:val="00EB0AF7"/>
    <w:rsid w:val="00EB2FDE"/>
    <w:rsid w:val="00EB5B70"/>
    <w:rsid w:val="00EC1046"/>
    <w:rsid w:val="00EC4599"/>
    <w:rsid w:val="00EC6AF6"/>
    <w:rsid w:val="00ED04D0"/>
    <w:rsid w:val="00ED330A"/>
    <w:rsid w:val="00EE5A33"/>
    <w:rsid w:val="00EF32F8"/>
    <w:rsid w:val="00EF51ED"/>
    <w:rsid w:val="00F051F5"/>
    <w:rsid w:val="00F065D1"/>
    <w:rsid w:val="00F074DB"/>
    <w:rsid w:val="00F14549"/>
    <w:rsid w:val="00F148ED"/>
    <w:rsid w:val="00F16E14"/>
    <w:rsid w:val="00F34E7E"/>
    <w:rsid w:val="00F35922"/>
    <w:rsid w:val="00F435D7"/>
    <w:rsid w:val="00F5213F"/>
    <w:rsid w:val="00F61A64"/>
    <w:rsid w:val="00F622B4"/>
    <w:rsid w:val="00F716F8"/>
    <w:rsid w:val="00F74362"/>
    <w:rsid w:val="00F8185F"/>
    <w:rsid w:val="00F8341A"/>
    <w:rsid w:val="00F84ADF"/>
    <w:rsid w:val="00F857E3"/>
    <w:rsid w:val="00F86510"/>
    <w:rsid w:val="00F90D37"/>
    <w:rsid w:val="00F92031"/>
    <w:rsid w:val="00F939E7"/>
    <w:rsid w:val="00F94DE5"/>
    <w:rsid w:val="00F96E16"/>
    <w:rsid w:val="00FA1D1E"/>
    <w:rsid w:val="00FA2AA4"/>
    <w:rsid w:val="00FA566C"/>
    <w:rsid w:val="00FB406E"/>
    <w:rsid w:val="00FB449A"/>
    <w:rsid w:val="00FC158E"/>
    <w:rsid w:val="00FC2312"/>
    <w:rsid w:val="00FC2C45"/>
    <w:rsid w:val="00FD136A"/>
    <w:rsid w:val="00FD1B83"/>
    <w:rsid w:val="00FD2B11"/>
    <w:rsid w:val="00FD2F42"/>
    <w:rsid w:val="00FE0611"/>
    <w:rsid w:val="00FE0793"/>
    <w:rsid w:val="00FE1967"/>
    <w:rsid w:val="00FE32B5"/>
    <w:rsid w:val="00FE4080"/>
    <w:rsid w:val="00FE4768"/>
    <w:rsid w:val="00FE682E"/>
    <w:rsid w:val="00FE701C"/>
    <w:rsid w:val="00FE7034"/>
    <w:rsid w:val="00FE7C4A"/>
    <w:rsid w:val="00FF031A"/>
    <w:rsid w:val="00FF0428"/>
    <w:rsid w:val="00FF16CC"/>
    <w:rsid w:val="00FF4119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F3D12"/>
  <w15:docId w15:val="{C4A33F77-5835-4A24-87A7-BC471160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link w:val="23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99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character" w:customStyle="1" w:styleId="23">
    <w:name w:val="Основной текст с отступом 2 Знак"/>
    <w:basedOn w:val="a0"/>
    <w:link w:val="22"/>
    <w:rsid w:val="00725FAD"/>
    <w:rPr>
      <w:sz w:val="24"/>
      <w:szCs w:val="24"/>
    </w:rPr>
  </w:style>
  <w:style w:type="character" w:customStyle="1" w:styleId="product-infotitle-description">
    <w:name w:val="product-info__title-description"/>
    <w:basedOn w:val="a0"/>
    <w:rsid w:val="00C6679E"/>
  </w:style>
  <w:style w:type="character" w:customStyle="1" w:styleId="jspriceblockcurrent">
    <w:name w:val="jspriceblock__current"/>
    <w:basedOn w:val="a0"/>
    <w:rsid w:val="00294429"/>
  </w:style>
  <w:style w:type="character" w:customStyle="1" w:styleId="price">
    <w:name w:val="price"/>
    <w:basedOn w:val="a0"/>
    <w:rsid w:val="00D040D3"/>
  </w:style>
  <w:style w:type="paragraph" w:styleId="af5">
    <w:name w:val="Body Text"/>
    <w:basedOn w:val="a"/>
    <w:link w:val="af6"/>
    <w:semiHidden/>
    <w:unhideWhenUsed/>
    <w:rsid w:val="009D0E09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9D0E09"/>
    <w:rPr>
      <w:sz w:val="24"/>
      <w:szCs w:val="24"/>
    </w:rPr>
  </w:style>
  <w:style w:type="paragraph" w:customStyle="1" w:styleId="12">
    <w:name w:val="Основной текст с отступом1"/>
    <w:basedOn w:val="a"/>
    <w:rsid w:val="001D40F1"/>
    <w:pPr>
      <w:ind w:firstLine="709"/>
      <w:jc w:val="both"/>
    </w:pPr>
    <w:rPr>
      <w:sz w:val="20"/>
      <w:szCs w:val="20"/>
    </w:rPr>
  </w:style>
  <w:style w:type="paragraph" w:customStyle="1" w:styleId="13">
    <w:name w:val="Обычный1"/>
    <w:rsid w:val="0053179C"/>
    <w:rPr>
      <w:sz w:val="24"/>
    </w:rPr>
  </w:style>
  <w:style w:type="character" w:styleId="af7">
    <w:name w:val="FollowedHyperlink"/>
    <w:basedOn w:val="a0"/>
    <w:semiHidden/>
    <w:unhideWhenUsed/>
    <w:rsid w:val="00A776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4;&#1073;&#1086;&#1089;&#1085;&#1086;&#1074;&#1099;&#1074;&#1072;&#1102;&#1097;&#1080;&#1077;%20&#1084;&#1072;&#1090;&#1077;&#1088;&#1080;&#1072;&#1083;&#1099;/&#1055;&#1080;&#1089;&#1100;&#1084;&#1086;%20&#1086;&#1090;%20&#1060;&#1057;&#1058;&#1069;&#1050;_&#1050;&#1048;&#1048;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6B530-7294-4265-8FD3-C08D59EC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ПО</cp:lastModifiedBy>
  <cp:revision>48</cp:revision>
  <cp:lastPrinted>2022-02-03T01:24:00Z</cp:lastPrinted>
  <dcterms:created xsi:type="dcterms:W3CDTF">2025-03-06T04:42:00Z</dcterms:created>
  <dcterms:modified xsi:type="dcterms:W3CDTF">2025-04-22T09:46:00Z</dcterms:modified>
</cp:coreProperties>
</file>