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</w:t>
      </w:r>
      <w:r>
        <w:rPr>
          <w:rFonts w:ascii="PT Astra Serif" w:hAnsi="PT Astra Serif" w:cs="Times New Roman"/>
          <w:sz w:val="24"/>
          <w:szCs w:val="24"/>
        </w:rPr>
        <w:t xml:space="preserve">риложение № 3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УТВЕРЖДЕНА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распоряжением </w:t>
      </w:r>
      <w:r>
        <w:rPr>
          <w:rFonts w:ascii="PT Astra Serif" w:hAnsi="PT Astra Serif" w:cs="Times New Roman"/>
          <w:sz w:val="24"/>
          <w:szCs w:val="24"/>
        </w:rPr>
        <w:t xml:space="preserve">Департамента </w:t>
      </w:r>
      <w:r>
        <w:rPr>
          <w:rFonts w:ascii="PT Astra Serif" w:hAnsi="PT Astra Serif" w:cs="Times New Roman"/>
          <w:sz w:val="24"/>
          <w:szCs w:val="24"/>
        </w:rPr>
        <w:t xml:space="preserve">тарифного регулирования</w:t>
      </w:r>
      <w:r>
        <w:rPr>
          <w:rFonts w:ascii="PT Astra Serif" w:hAnsi="PT Astra Serif" w:cs="Times New Roman"/>
          <w:sz w:val="24"/>
          <w:szCs w:val="24"/>
        </w:rPr>
        <w:t xml:space="preserve"> Томской области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700"/>
        <w:rPr>
          <w:rFonts w:ascii="PT Astra Serif" w:hAnsi="PT Astra Serif"/>
          <w:color w:val="ff0000"/>
        </w:rPr>
      </w:pPr>
      <w:r>
        <w:rPr>
          <w:rFonts w:ascii="PT Astra Serif" w:hAnsi="PT Astra Serif"/>
          <w:color w:val="ff0000"/>
        </w:rPr>
      </w:r>
      <w:r>
        <w:rPr>
          <w:rFonts w:ascii="PT Astra Serif" w:hAnsi="PT Astra Serif"/>
          <w:color w:val="ff0000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 w:eastAsiaTheme="majorEastAsia"/>
          <w:bCs/>
          <w:sz w:val="24"/>
          <w:szCs w:val="24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Программа</w:t>
      </w:r>
      <w:r>
        <w:rPr>
          <w:rFonts w:ascii="PT Astra Serif" w:hAnsi="PT Astra Serif" w:cs="Times New Roman" w:eastAsiaTheme="majorEastAsia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 w:eastAsiaTheme="majorEastAsia"/>
          <w:bCs/>
          <w:sz w:val="24"/>
          <w:szCs w:val="24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регионально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го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</w:t>
      </w:r>
      <w:r>
        <w:rPr>
          <w:rFonts w:ascii="PT Astra Serif" w:hAnsi="PT Astra Serif" w:cs="PT Astra Serif"/>
          <w:bCs/>
          <w:sz w:val="24"/>
          <w:szCs w:val="24"/>
        </w:rPr>
        <w:t xml:space="preserve">государственного контроля (надзора) </w:t>
      </w:r>
      <w:r>
        <w:rPr>
          <w:rFonts w:ascii="PT Astra Serif" w:hAnsi="PT Astra Serif" w:cs="PT Astra Serif"/>
          <w:bCs/>
          <w:sz w:val="24"/>
          <w:szCs w:val="24"/>
        </w:rPr>
        <w:t xml:space="preserve">в области регулирования тарифов в </w:t>
      </w:r>
      <w:r>
        <w:rPr>
          <w:rFonts w:ascii="PT Astra Serif" w:hAnsi="PT Astra Serif"/>
          <w:sz w:val="24"/>
          <w:szCs w:val="24"/>
        </w:rPr>
        <w:t xml:space="preserve">сферах естественных монополий</w:t>
      </w:r>
      <w:r>
        <w:rPr>
          <w:rFonts w:ascii="PT Astra Serif" w:hAnsi="PT Astra Serif" w:cs="PT Astra Serif"/>
          <w:bCs/>
          <w:sz w:val="24"/>
          <w:szCs w:val="24"/>
        </w:rPr>
        <w:t xml:space="preserve"> на территории Томской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области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на 202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4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год</w:t>
      </w:r>
      <w:r>
        <w:rPr>
          <w:rFonts w:ascii="PT Astra Serif" w:hAnsi="PT Astra Serif" w:cs="Times New Roman" w:eastAsiaTheme="majorEastAsia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 w:eastAsiaTheme="majorEastAsia"/>
          <w:bCs/>
          <w:sz w:val="24"/>
          <w:szCs w:val="24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</w:r>
      <w:r>
        <w:rPr>
          <w:rFonts w:ascii="PT Astra Serif" w:hAnsi="PT Astra Serif" w:cs="Times New Roman" w:eastAsiaTheme="majorEastAsia"/>
          <w:bCs/>
          <w:sz w:val="24"/>
          <w:szCs w:val="24"/>
        </w:rPr>
      </w:r>
    </w:p>
    <w:p>
      <w:pPr>
        <w:contextualSpacing/>
        <w:jc w:val="center"/>
        <w:spacing w:before="360" w:after="120" w:line="240" w:lineRule="auto"/>
        <w:shd w:val="clear" w:color="auto" w:fill="ffffff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1.  Анализ текущего состояния осуществления вида контроля, описание текущего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contextualSpacing/>
        <w:jc w:val="center"/>
        <w:spacing w:before="360" w:after="120" w:line="240" w:lineRule="auto"/>
        <w:shd w:val="clear" w:color="auto" w:fill="ffffff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ind w:firstLine="851"/>
        <w:spacing w:after="0" w:line="240" w:lineRule="auto"/>
        <w:widowControl w:val="off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1.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Региональный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государственный контроль (надзор) </w:t>
      </w:r>
      <w:r>
        <w:rPr>
          <w:rFonts w:ascii="PT Astra Serif" w:hAnsi="PT Astra Serif" w:cs="PT Astra Serif"/>
          <w:bCs/>
          <w:sz w:val="24"/>
          <w:szCs w:val="24"/>
        </w:rPr>
        <w:t xml:space="preserve">в области регулирования тарифов в </w:t>
      </w:r>
      <w:r>
        <w:rPr>
          <w:rFonts w:ascii="PT Astra Serif" w:hAnsi="PT Astra Serif"/>
          <w:sz w:val="24"/>
          <w:szCs w:val="24"/>
        </w:rPr>
        <w:t xml:space="preserve">сферах естественных монополий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на территории Томской области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(далее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-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региональный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контроль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)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осуществляет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Департамент </w:t>
      </w:r>
      <w:r>
        <w:rPr>
          <w:rFonts w:ascii="PT Astra Serif" w:hAnsi="PT Astra Serif" w:cs="Times New Roman"/>
          <w:sz w:val="24"/>
          <w:szCs w:val="24"/>
        </w:rPr>
        <w:t xml:space="preserve">тарифного регулирования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Томской области (далее – Департамент)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 соответствии с Положением о</w:t>
      </w:r>
      <w:r>
        <w:rPr>
          <w:rFonts w:ascii="PT Astra Serif" w:hAnsi="PT Astra Serif" w:cs="PT Astra Serif"/>
          <w:bCs/>
          <w:sz w:val="24"/>
          <w:szCs w:val="24"/>
        </w:rPr>
        <w:t xml:space="preserve"> региональном государственном контроле (надзоре) в области государственного регулирования цен (тарифов) на территории Томской области</w:t>
      </w:r>
      <w:r>
        <w:rPr>
          <w:rFonts w:ascii="PT Astra Serif" w:hAnsi="PT Astra Serif" w:cs="PT Astra Serif"/>
          <w:bCs/>
          <w:sz w:val="24"/>
          <w:szCs w:val="24"/>
        </w:rPr>
        <w:t xml:space="preserve">,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утвержденным постановлением Администрации Томской области от 01.10.2021 № 421а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2.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Предметом регионального 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контроля 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PT Astra Serif" w:hAnsi="PT Astra Serif" w:cs="PT Astra Serif"/>
          <w:sz w:val="24"/>
          <w:szCs w:val="24"/>
        </w:rPr>
        <w:t xml:space="preserve">соблюдение субъектами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естественных монополий обязательных требований, установленных Федеральным </w:t>
      </w:r>
      <w:hyperlink r:id="rId12" w:tooltip="consultantplus://offline/ref=CB50FA61FEBDCEDC226D4F9C5F54EEB0E71E21D7D8FDAD111EA921027DBD4DFC672D455FFEB7BC3F94FD53E5BEfFx4H" w:history="1">
        <w:r>
          <w:rPr>
            <w:rFonts w:ascii="PT Astra Serif" w:hAnsi="PT Astra Serif" w:cs="PT Astra Serif"/>
            <w:color w:val="000000" w:themeColor="text1"/>
            <w:sz w:val="24"/>
            <w:szCs w:val="24"/>
          </w:rPr>
          <w:t xml:space="preserve">законом</w:t>
        </w:r>
      </w:hyperlink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от </w:t>
      </w:r>
      <w:r>
        <w:rPr>
          <w:rFonts w:ascii="PT Astra Serif" w:hAnsi="PT Astra Serif" w:cs="PT Astra Serif"/>
          <w:sz w:val="24"/>
          <w:szCs w:val="24"/>
        </w:rPr>
        <w:t xml:space="preserve">17 августа 1995 года № 147-ФЗ «О естественных монополиях», другими федеральными законами и иными нормативными прав</w:t>
      </w:r>
      <w:r>
        <w:rPr>
          <w:rFonts w:ascii="PT Astra Serif" w:hAnsi="PT Astra Serif" w:cs="PT Astra Serif"/>
          <w:sz w:val="24"/>
          <w:szCs w:val="24"/>
        </w:rPr>
        <w:t xml:space="preserve">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достоверности, экономической обоснованности расходов и иных показателей, учитываемых</w:t>
      </w:r>
      <w:r>
        <w:rPr>
          <w:rFonts w:ascii="PT Astra Serif" w:hAnsi="PT Astra Serif" w:cs="PT Astra Serif"/>
          <w:sz w:val="24"/>
          <w:szCs w:val="24"/>
        </w:rPr>
        <w:t xml:space="preserve">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</w:t>
      </w:r>
      <w:r>
        <w:rPr>
          <w:rFonts w:ascii="PT Astra Serif" w:hAnsi="PT Astra Serif" w:cs="PT Astra Serif"/>
          <w:sz w:val="24"/>
          <w:szCs w:val="24"/>
        </w:rPr>
        <w:t xml:space="preserve">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</w:t>
      </w:r>
      <w:r>
        <w:rPr>
          <w:rFonts w:ascii="PT Astra Serif" w:hAnsi="PT Astra Serif" w:cs="PT Astra Serif"/>
          <w:sz w:val="24"/>
          <w:szCs w:val="24"/>
        </w:rPr>
        <w:t xml:space="preserve"> естественных монополий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3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 рамках осуществления регионального контроля  Департамент в соответствии со статьей 23.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5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1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(далее – КоАП РФ) уполномочен на ведение административного производства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(составление протоколов об административном правонарушении, проведение административных расследований, рассмотрение протоколов и привлечение к административной ответственности виновных лиц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)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В связи с введением постановлением Правительства Российской Федерации от 10.03.2022 № 336 </w:t>
      </w:r>
      <w:r>
        <w:rPr>
          <w:rFonts w:ascii="PT Astra Serif" w:hAnsi="PT Astra Serif" w:cs="Times New Roman"/>
          <w:sz w:val="24"/>
          <w:szCs w:val="24"/>
        </w:rPr>
        <w:t xml:space="preserve">«Об особенностях организации и осуществления государственного контроля (надзора), муниципального контроля» особенностей и ограничений на проведение контрольных мероприятий, Департаментом в 2023 году дела об административных правонарушениях не возбуждались.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4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. В 202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году количество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контролируемых лиц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составило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5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организаци</w:t>
      </w:r>
      <w:r>
        <w:rPr>
          <w:rFonts w:ascii="PT Astra Serif" w:hAnsi="PT Astra Serif" w:cs="PT Astra Serif"/>
          <w:sz w:val="24"/>
          <w:szCs w:val="24"/>
        </w:rPr>
        <w:t xml:space="preserve">й</w:t>
      </w:r>
      <w:r>
        <w:rPr>
          <w:rFonts w:ascii="PT Astra Serif" w:hAnsi="PT Astra Serif" w:cs="PT Astra Serif"/>
          <w:sz w:val="24"/>
          <w:szCs w:val="24"/>
        </w:rPr>
        <w:t xml:space="preserve">, осуществляющ</w:t>
      </w:r>
      <w:r>
        <w:rPr>
          <w:rFonts w:ascii="PT Astra Serif" w:hAnsi="PT Astra Serif" w:cs="PT Astra Serif"/>
          <w:sz w:val="24"/>
          <w:szCs w:val="24"/>
        </w:rPr>
        <w:t xml:space="preserve">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регулируемую деятельность </w:t>
      </w:r>
      <w:r>
        <w:rPr>
          <w:rFonts w:ascii="PT Astra Serif" w:hAnsi="PT Astra Serif"/>
          <w:sz w:val="24"/>
          <w:szCs w:val="24"/>
        </w:rPr>
        <w:t xml:space="preserve">сферах естественных монополий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202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у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Департаментом на постоянной основе проводились: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размещение на официальном сайте Департамента актуальных полных текстов нормативных правовых актов, содержащих обязательные требования;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актуализация перечней нормативных правовых актов, их отдельных частей, содержащих обязательные требования, и их размещение на официальном сайте Департамента;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подготовка и размещение на официальном сайте Департамента информационных материалов и разъяснений о содержании и порядке соблюдения (исполнения) обязательных требований.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Подготовлены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и размещены на официальном сайте Департамента: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Департамента при осуществлении государственного контроля (надзора) в 2021 году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https://rec.tomsk.gov.ru/storage/doc/KND/PPP2022.pdf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в разделе Деятельность – Контрольно-надзорная деятельность – Реформа КНД);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анонсы по актуальным вопросам.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По мере появления информационных поводов Департаментом подготовлены и размещены на официальном сайте Департамента информационные материалы по актуальным вопросам.</w:t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PT Astra Serif" w:hAnsi="PT Astra Serif" w:cs="Times New Roman"/>
          <w:sz w:val="24"/>
          <w:szCs w:val="24"/>
        </w:rPr>
        <w:t xml:space="preserve">Ежедневно, в текущем рабочем режиме, должностными лицами Департамента  проводились индивидуальные консультации для контролируемых лиц (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по телефону, посредством видео-конференц-связи, на личном приеме</w:t>
      </w:r>
      <w:r>
        <w:rPr>
          <w:rFonts w:ascii="PT Astra Serif" w:hAnsi="PT Astra Serif" w:cs="Times New Roman"/>
          <w:sz w:val="24"/>
          <w:szCs w:val="24"/>
        </w:rPr>
        <w:t xml:space="preserve">).</w:t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707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5. Проблемами, на решение которых направлена настоящая Программа профилактики, являются:</w:t>
      </w:r>
      <w:r>
        <w:rPr>
          <w:rFonts w:ascii="PT Astra Serif" w:hAnsi="PT Astra Serif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1) недостаточный уровень правовой грамотности контролируемых лиц;</w:t>
      </w:r>
      <w:r>
        <w:rPr>
          <w:rFonts w:ascii="PT Astra Serif" w:hAnsi="PT Astra Serif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2) неправильное толкование обязательных требований контролируемыми лицами, которое может привести к нарушению ими отдельных положений действующего законодательства.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cs="Times New Roman" w:eastAsiaTheme="minorEastAsia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Цели и</w:t>
      </w:r>
      <w:r>
        <w:rPr>
          <w:rFonts w:ascii="PT Astra Serif" w:hAnsi="PT Astra Serif" w:cs="Times New Roman"/>
          <w:sz w:val="24"/>
          <w:szCs w:val="24"/>
        </w:rPr>
        <w:t xml:space="preserve"> задачи </w:t>
      </w:r>
      <w:r>
        <w:rPr>
          <w:rFonts w:ascii="PT Astra Serif" w:hAnsi="PT Astra Serif" w:cs="Times New Roman"/>
          <w:sz w:val="24"/>
          <w:szCs w:val="24"/>
        </w:rPr>
        <w:t xml:space="preserve">реализации </w:t>
      </w:r>
      <w:r>
        <w:rPr>
          <w:rFonts w:ascii="PT Astra Serif" w:hAnsi="PT Astra Serif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программы профилактики</w:t>
      </w:r>
      <w:r>
        <w:rPr>
          <w:rFonts w:ascii="PT Astra Serif" w:hAnsi="PT Astra Serif" w:cs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</w:r>
      <w:r>
        <w:rPr>
          <w:rFonts w:ascii="PT Astra Serif" w:hAnsi="PT Astra Serif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</w:t>
      </w:r>
      <w:r>
        <w:rPr>
          <w:rFonts w:ascii="PT Astra Serif" w:hAnsi="PT Astra Serif" w:cs="Times New Roman"/>
          <w:sz w:val="24"/>
          <w:szCs w:val="24"/>
        </w:rPr>
        <w:t xml:space="preserve"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Основными целями </w:t>
      </w:r>
      <w:r>
        <w:rPr>
          <w:rFonts w:ascii="PT Astra Serif" w:hAnsi="PT Astra Serif" w:cs="Times New Roman"/>
          <w:sz w:val="24"/>
          <w:szCs w:val="24"/>
        </w:rPr>
        <w:t xml:space="preserve">реализации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Программы профилактики рисков причинения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вреда (ущерба) охраняемым законом ценностям при осуществлении регионального государственного контроля (надзора)  (далее – Программа профилактики) </w:t>
      </w:r>
      <w:r>
        <w:rPr>
          <w:rFonts w:ascii="PT Astra Serif" w:hAnsi="PT Astra Serif" w:cs="Times New Roman"/>
          <w:sz w:val="24"/>
          <w:szCs w:val="24"/>
        </w:rPr>
        <w:t xml:space="preserve">являются</w:t>
      </w:r>
      <w:r>
        <w:rPr>
          <w:rFonts w:ascii="PT Astra Serif" w:hAnsi="PT Astra Serif" w:cs="PT Astra Serif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7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Задачами реализации Программы профилактики являются: 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1) выявление причин, факторов и условий, способствующих нарушению обязательных требований контролируемыми лицами, определение способов устранения или снижения рисков их возникновения;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2) устранение причин, факторов и условий, способствующих возможному нарушению контролируемыми лицами обязательных требований;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3) повышение уровня правовой грамотности контролируемых лиц, в том числе путем обеспечения доступности информации об обязательных требованиях;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4) формирование единого понимания обязательных требований у всех контролируемых лиц;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5)  снижение издержек контрольной (надзорной) деятельности и административной нагрузки на контролируемые лица.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3. Перечень профилактических мероприятий,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сроки (периодичность) их проведения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spacing w:after="0" w:line="240" w:lineRule="auto"/>
        <w:tabs>
          <w:tab w:val="left" w:pos="830" w:leader="none"/>
        </w:tabs>
        <w:rPr>
          <w:rFonts w:ascii="PT Astra Serif" w:hAnsi="PT Astra Serif" w:eastAsia="Calibri" w:cs="Times New Roman"/>
          <w:color w:val="000000"/>
          <w:sz w:val="24"/>
          <w:szCs w:val="24"/>
        </w:rPr>
      </w:pPr>
      <w:r>
        <w:rPr>
          <w:rFonts w:ascii="PT Astra Serif" w:hAnsi="PT Astra Serif" w:eastAsia="Calibri" w:cs="PT Astra Serif"/>
          <w:color w:val="000000"/>
          <w:sz w:val="24"/>
          <w:szCs w:val="24"/>
        </w:rPr>
        <w:t xml:space="preserve">8</w:t>
      </w:r>
      <w:r>
        <w:rPr>
          <w:rFonts w:ascii="PT Astra Serif" w:hAnsi="PT Astra Serif" w:eastAsia="Calibri" w:cs="PT Astra Serif"/>
          <w:color w:val="000000"/>
          <w:sz w:val="24"/>
          <w:szCs w:val="24"/>
        </w:rPr>
        <w:t xml:space="preserve">. При осуществлении регионального контроля Департаментом проводятся следующие виды профилактических мероприятий:</w:t>
      </w:r>
      <w:r>
        <w:rPr>
          <w:rFonts w:ascii="PT Astra Serif" w:hAnsi="PT Astra Serif" w:eastAsia="Calibri" w:cs="Times New Roman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color w:val="000000"/>
          <w:sz w:val="24"/>
          <w:szCs w:val="24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1) информирование;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2) обобщение правоприменительной практики;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3) объявление предостережения;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4) консультирование;</w:t>
      </w:r>
      <w:r>
        <w:rPr>
          <w:rFonts w:ascii="PT Astra Serif" w:hAnsi="PT Astra Serif"/>
        </w:rPr>
      </w:r>
    </w:p>
    <w:p>
      <w:pPr>
        <w:pStyle w:val="716"/>
        <w:ind w:firstLine="675"/>
        <w:jc w:val="both"/>
        <w:spacing w:before="0" w:beforeAutospacing="0" w:after="0" w:afterAutospacing="0"/>
        <w:shd w:val="clear" w:color="auto" w:fill="fffffc"/>
        <w:rPr>
          <w:rFonts w:ascii="PT Astra Serif" w:hAnsi="PT Astra Serif"/>
        </w:rPr>
      </w:pPr>
      <w:r>
        <w:rPr>
          <w:rFonts w:ascii="PT Astra Serif" w:hAnsi="PT Astra Serif"/>
        </w:rPr>
        <w:t xml:space="preserve">5) профилактический визит.</w:t>
      </w:r>
      <w:r>
        <w:rPr>
          <w:rFonts w:ascii="PT Astra Serif" w:hAnsi="PT Astra Serif"/>
        </w:rPr>
      </w:r>
    </w:p>
    <w:p>
      <w:pPr>
        <w:jc w:val="both"/>
        <w:spacing w:line="240" w:lineRule="auto"/>
        <w:rPr>
          <w:rFonts w:ascii="PT Astra Serif" w:hAnsi="PT Astra Serif"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ab/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9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. Сроки (периодичность) проведения профилактических мероприятий приведены в Плане – графике реализации профилактических мероприятий при осуществлении регионального государственного контроля (надзора) </w:t>
      </w:r>
      <w:r>
        <w:rPr>
          <w:rFonts w:ascii="PT Astra Serif" w:hAnsi="PT Astra Serif" w:cs="PT Astra Serif"/>
          <w:bCs/>
          <w:sz w:val="24"/>
          <w:szCs w:val="24"/>
        </w:rPr>
        <w:t xml:space="preserve">в области регулирования тарифов в </w:t>
      </w:r>
      <w:r>
        <w:rPr>
          <w:rFonts w:ascii="PT Astra Serif" w:hAnsi="PT Astra Serif"/>
          <w:sz w:val="24"/>
          <w:szCs w:val="24"/>
        </w:rPr>
        <w:t xml:space="preserve">сферах естественных монополий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на территории Томской области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на 2024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год согласно приложению к настоящей Программе профилактики.</w:t>
      </w:r>
      <w:r>
        <w:rPr>
          <w:rFonts w:ascii="PT Astra Serif" w:hAnsi="PT Astra Serif" w:eastAsia="Arial Unicode MS" w:cs="Arial Unicode MS"/>
          <w:color w:val="000000"/>
          <w:sz w:val="24"/>
          <w:szCs w:val="24"/>
          <w:lang w:eastAsia="ru-RU" w:bidi="ru-RU"/>
        </w:rPr>
      </w:r>
    </w:p>
    <w:p>
      <w:pPr>
        <w:pStyle w:val="700"/>
        <w:jc w:val="center"/>
        <w:tabs>
          <w:tab w:val="left" w:pos="765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4</w:t>
      </w:r>
      <w:r>
        <w:rPr>
          <w:rFonts w:ascii="PT Astra Serif" w:hAnsi="PT Astra Serif"/>
          <w:color w:val="000000" w:themeColor="text1"/>
        </w:rPr>
        <w:t xml:space="preserve">. Показатели результативности и эффективности 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tabs>
          <w:tab w:val="left" w:pos="765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программы профилактики</w:t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jc w:val="center"/>
        <w:tabs>
          <w:tab w:val="left" w:pos="765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pStyle w:val="70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</w:t>
      </w:r>
      <w:r>
        <w:rPr>
          <w:rFonts w:ascii="PT Astra Serif" w:hAnsi="PT Astra Serif"/>
          <w:color w:val="000000" w:themeColor="text1"/>
        </w:rPr>
        <w:t xml:space="preserve">0</w:t>
      </w:r>
      <w:r>
        <w:rPr>
          <w:rFonts w:ascii="PT Astra Serif" w:hAnsi="PT Astra Serif"/>
          <w:color w:val="000000" w:themeColor="text1"/>
        </w:rPr>
        <w:t xml:space="preserve">. Целевыми показателями </w:t>
      </w:r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 xml:space="preserve">результативности и эффективности Программы профилактики являются:</w:t>
      </w:r>
      <w:r>
        <w:rPr>
          <w:rFonts w:ascii="PT Astra Serif" w:hAnsi="PT Astra Serif"/>
          <w:color w:val="000000" w:themeColor="text1"/>
        </w:rPr>
      </w:r>
    </w:p>
    <w:p>
      <w:pPr>
        <w:jc w:val="center"/>
        <w:spacing w:after="0" w:line="240" w:lineRule="auto"/>
        <w:rPr>
          <w:rFonts w:ascii="PT Astra Serif" w:hAnsi="PT Astra Serif" w:eastAsia="Arial Unicode MS" w:cs="Times New Roman"/>
          <w:b/>
          <w:color w:val="ff0000"/>
          <w:sz w:val="24"/>
          <w:szCs w:val="24"/>
        </w:rPr>
      </w:pPr>
      <w:r>
        <w:rPr>
          <w:rFonts w:ascii="PT Astra Serif" w:hAnsi="PT Astra Serif" w:eastAsia="Arial Unicode MS" w:cs="Times New Roman"/>
          <w:b/>
          <w:color w:val="ff0000"/>
          <w:sz w:val="24"/>
          <w:szCs w:val="24"/>
        </w:rPr>
      </w:r>
      <w:r>
        <w:rPr>
          <w:rFonts w:ascii="PT Astra Serif" w:hAnsi="PT Astra Serif" w:eastAsia="Arial Unicode MS" w:cs="Times New Roman"/>
          <w:b/>
          <w:color w:val="ff0000"/>
          <w:sz w:val="24"/>
          <w:szCs w:val="24"/>
        </w:rPr>
      </w:r>
    </w:p>
    <w:tbl>
      <w:tblPr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245"/>
        <w:gridCol w:w="2020"/>
        <w:gridCol w:w="1665"/>
      </w:tblGrid>
      <w:tr>
        <w:trPr>
          <w:cantSplit/>
          <w:jc w:val="center"/>
          <w:trHeight w:val="351"/>
        </w:trPr>
        <w:tc>
          <w:tcPr>
            <w:shd w:val="clear" w:color="auto" w:fill="auto"/>
            <w:tcW w:w="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ind w:left="70"/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Показатель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Период, год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301"/>
        </w:trPr>
        <w:tc>
          <w:tcPr>
            <w:shd w:val="clear" w:color="auto" w:fill="auto"/>
            <w:tcW w:w="6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Arial Unicode MS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Arial Unicode MS" w:cs="Times New Roman"/>
                <w:strike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884"/>
        </w:trPr>
        <w:tc>
          <w:tcPr>
            <w:shd w:val="clear" w:color="auto" w:fill="auto"/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Доля  контролируемых лиц,  в  отношении  которых  были  проведены профилактические  мероприятия, %*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0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базовый уровень (100%)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105 %</w:t>
            </w:r>
            <w:r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623"/>
        </w:trPr>
        <w:tc>
          <w:tcPr>
            <w:shd w:val="clear" w:color="auto" w:fill="auto"/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Arial Unicode MS" w:cs="Times New Roman"/>
                <w:color w:val="000000" w:themeColor="text1"/>
                <w:sz w:val="24"/>
                <w:szCs w:val="24"/>
              </w:rPr>
              <w:t xml:space="preserve">Количество проведенных профилактических мероприятий,  %**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0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базовый уровень (100%)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105 %</w:t>
            </w:r>
            <w:r>
              <w:rPr>
                <w:rFonts w:ascii="PT Astra Serif" w:hAnsi="PT Astra Serif" w:eastAsia="Calibri" w:cs="Times New Roman"/>
                <w:strike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*Показатель рассчитывается как отношение числа 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контролируемых лиц</w:t>
      </w:r>
      <w:r>
        <w:rPr>
          <w:rFonts w:ascii="PT Astra Serif" w:hAnsi="PT Astra Serif" w:eastAsia="Arial Unicode MS" w:cs="Times New Roman"/>
          <w:color w:val="000000" w:themeColor="text1"/>
          <w:sz w:val="20"/>
          <w:szCs w:val="20"/>
        </w:rPr>
        <w:t xml:space="preserve">,  в  отношении  которых  были  проведены профилактические  мероприятия,  к  общему  количеству  </w:t>
      </w:r>
      <w:r>
        <w:rPr>
          <w:rFonts w:ascii="PT Astra Serif" w:hAnsi="PT Astra Serif" w:eastAsia="Arial Unicode MS" w:cs="Times New Roman"/>
          <w:color w:val="000000" w:themeColor="text1"/>
          <w:sz w:val="20"/>
          <w:szCs w:val="20"/>
        </w:rPr>
        <w:t xml:space="preserve">контролируемых лиц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  <w:t xml:space="preserve">**Показатель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году.</w:t>
      </w:r>
      <w:r>
        <w:rPr>
          <w:rFonts w:ascii="PT Astra Serif" w:hAnsi="PT Astra Serif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Times New Roman"/>
          <w:b/>
          <w:color w:val="ff0000"/>
          <w:sz w:val="24"/>
          <w:szCs w:val="24"/>
        </w:rPr>
      </w:pPr>
      <w:r>
        <w:rPr>
          <w:rFonts w:ascii="PT Astra Serif" w:hAnsi="PT Astra Serif" w:cs="Times New Roman"/>
          <w:b/>
          <w:color w:val="ff0000"/>
          <w:sz w:val="24"/>
          <w:szCs w:val="24"/>
        </w:rPr>
      </w:r>
      <w:r>
        <w:rPr>
          <w:rFonts w:ascii="PT Astra Serif" w:hAnsi="PT Astra Serif" w:cs="Times New Roman"/>
          <w:b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color w:val="ff0000"/>
          <w:sz w:val="24"/>
          <w:szCs w:val="24"/>
        </w:rPr>
      </w:r>
      <w:r>
        <w:rPr>
          <w:rFonts w:ascii="PT Astra Serif" w:hAnsi="PT Astra Serif" w:cs="Times New Roman"/>
          <w:color w:val="ff0000"/>
          <w:sz w:val="24"/>
          <w:szCs w:val="24"/>
        </w:rPr>
      </w:r>
    </w:p>
    <w:p>
      <w:pPr>
        <w:jc w:val="right"/>
        <w:pageBreakBefore/>
        <w:spacing w:after="0" w:line="240" w:lineRule="auto"/>
        <w:rPr>
          <w:rFonts w:ascii="PT Astra Serif" w:hAnsi="PT Astra Serif" w:eastAsia="Times New Roman" w:cs="Times New Roman"/>
          <w:color w:val="ff0000"/>
          <w:sz w:val="24"/>
          <w:szCs w:val="24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PT Astra Serif" w:hAnsi="PT Astra Serif" w:eastAsia="Times New Roman" w:cs="Times New Roman"/>
          <w:color w:val="ff0000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color w:val="ff0000"/>
          <w:sz w:val="24"/>
          <w:szCs w:val="24"/>
          <w:lang w:eastAsia="ru-RU"/>
        </w:rPr>
      </w:r>
    </w:p>
    <w:p>
      <w:pPr>
        <w:jc w:val="right"/>
        <w:pageBreakBefore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9356"/>
        <w:jc w:val="right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Программе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9356"/>
        <w:jc w:val="right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регионального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государственного контроля (надзора) </w:t>
      </w:r>
      <w:r>
        <w:rPr>
          <w:rFonts w:ascii="PT Astra Serif" w:hAnsi="PT Astra Serif" w:cs="PT Astra Serif"/>
          <w:bCs/>
          <w:sz w:val="24"/>
          <w:szCs w:val="24"/>
        </w:rPr>
        <w:t xml:space="preserve">в области регулирования тарифов в </w:t>
      </w:r>
      <w:r>
        <w:rPr>
          <w:rFonts w:ascii="PT Astra Serif" w:hAnsi="PT Astra Serif"/>
          <w:sz w:val="24"/>
          <w:szCs w:val="24"/>
        </w:rPr>
        <w:t xml:space="preserve">сферах естественных монополий</w:t>
      </w:r>
      <w:r>
        <w:rPr>
          <w:rFonts w:ascii="PT Astra Serif" w:hAnsi="PT Astra Serif" w:cs="Times New Roman" w:eastAsiaTheme="majorEastAsia"/>
          <w:bCs/>
          <w:sz w:val="24"/>
          <w:szCs w:val="24"/>
        </w:rPr>
        <w:t xml:space="preserve"> 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на территории Томской области на 202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4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5670"/>
        <w:jc w:val="right"/>
        <w:spacing w:after="0" w:line="240" w:lineRule="auto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План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– график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реализации профилактических мероприятий при осуществлении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государственного контроля (надзора) </w:t>
      </w:r>
      <w:r>
        <w:rPr>
          <w:rFonts w:ascii="PT Astra Serif" w:hAnsi="PT Astra Serif" w:cs="PT Astra Serif"/>
          <w:bCs/>
          <w:sz w:val="24"/>
          <w:szCs w:val="24"/>
        </w:rPr>
        <w:t xml:space="preserve">в области регулирования тарифов </w:t>
      </w:r>
      <w:r>
        <w:rPr>
          <w:rFonts w:ascii="PT Astra Serif" w:hAnsi="PT Astra Serif" w:cs="PT Astra Serif"/>
          <w:bCs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 xml:space="preserve">сферах естественных монополий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Томской области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4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</w:t>
      </w:r>
      <w:r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b/>
          <w:color w:val="ff0000"/>
          <w:sz w:val="24"/>
          <w:szCs w:val="24"/>
          <w:lang w:eastAsia="ru-RU"/>
        </w:rPr>
      </w:r>
    </w:p>
    <w:tbl>
      <w:tblPr>
        <w:tblStyle w:val="706"/>
        <w:tblW w:w="15134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6095"/>
        <w:gridCol w:w="3260"/>
        <w:gridCol w:w="2977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Сведения  о мероприятии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Срок реализации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Информирование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Информирование по вопросам соблюдения обязательных требований осуществляется в порядке, установленном статьей 46 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Федерального закона от 31 июля 2020 года № 248-ФЗ «О государственном контроле (надзоре) и муниципальном контроле в Российской Федерации» (далее – Федеральный закон</w:t>
            </w:r>
            <w:r>
              <w:rPr>
                <w:rFonts w:ascii="PT Astra Serif" w:hAnsi="PT Astra Serif" w:cs="PT Astra Serif"/>
                <w:b w:val="0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Председатель комитета регулирования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естественных монополий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, председатель комитета информационной работы и регулирования цен (тарифов) социально-значимых товаров и услуг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275" w:leader="none"/>
              </w:tabs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5 дней с даты принятия нормативного правового акта, регулирующего осуществление регионального контроля, либо в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течение 10 дней с даты подготовки или актуализации сведений, подлежащих размещению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15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Обобщение правоприменительной практики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 xml:space="preserve">Доклад, содержащий результаты обобщения правоприменительной практики, готовится </w:t>
            </w:r>
            <w:r>
              <w:rPr>
                <w:rFonts w:ascii="PT Astra Serif" w:hAnsi="PT Astra Serif" w:cs="PT Astra Serif"/>
              </w:rPr>
              <w:t xml:space="preserve">в порядке, установленном </w:t>
            </w:r>
            <w:hyperlink r:id="rId13" w:tooltip="consultantplus://offline/ref=4DE7E23BAF623F9284246F5293CA571D1729A49F100D864E6DC86FEB966F44D7FE90E9474E4C1544EDB79C908CE9BE44DC66BFACD6E44851l8t2H" w:history="1">
              <w:r>
                <w:rPr>
                  <w:rFonts w:ascii="PT Astra Serif" w:hAnsi="PT Astra Serif" w:cs="PT Astra Serif"/>
                </w:rPr>
                <w:t xml:space="preserve">статьей 47</w:t>
              </w:r>
            </w:hyperlink>
            <w:r>
              <w:rPr>
                <w:rFonts w:ascii="PT Astra Serif" w:hAnsi="PT Astra Serif" w:cs="PT Astra Serif"/>
              </w:rPr>
              <w:t xml:space="preserve"> Федерального закона, </w:t>
            </w:r>
            <w:r>
              <w:rPr>
                <w:rFonts w:ascii="PT Astra Serif" w:hAnsi="PT Astra Serif"/>
              </w:rPr>
              <w:t xml:space="preserve">не позднее 1 апреля года, следующего за отчетным годом, утверждается до 1 мая года, следующего за отчетным годом, и размещается на официальном сайте </w:t>
            </w:r>
            <w:r>
              <w:rPr>
                <w:rFonts w:ascii="PT Astra Serif" w:hAnsi="PT Astra Serif" w:cs="PT Astra Serif"/>
              </w:rPr>
              <w:t xml:space="preserve">Департамента </w:t>
            </w:r>
            <w:r>
              <w:rPr>
                <w:rFonts w:ascii="PT Astra Serif" w:hAnsi="PT Astra Serif"/>
              </w:rPr>
              <w:t xml:space="preserve">в </w:t>
            </w:r>
            <w:r>
              <w:rPr>
                <w:rFonts w:ascii="PT Astra Serif" w:hAnsi="PT Astra Serif" w:cs="PT Astra Serif"/>
              </w:rPr>
              <w:t xml:space="preserve">информационно-телекоммуникационной</w:t>
            </w:r>
            <w:r>
              <w:rPr>
                <w:rFonts w:ascii="PT Astra Serif" w:hAnsi="PT Astra Serif"/>
              </w:rPr>
              <w:t xml:space="preserve"> сети «Интернет» не позднее трех календарных дней со дня его утверждения.</w:t>
            </w:r>
            <w:r>
              <w:rPr>
                <w:rFonts w:ascii="PT Astra Serif" w:hAnsi="PT Astra Serif"/>
              </w:rPr>
              <w:t xml:space="preserve"> Доклад, содержащий результаты обобщения правоприменительной практики, подготавливается один раз в год.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.03.202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4</w:t>
            </w:r>
            <w:bookmarkStart w:id="0" w:name="_GoBack"/>
            <w:r/>
            <w:bookmarkEnd w:id="0"/>
            <w:r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Объявление предостережения</w:t>
            </w: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случае н</w:t>
            </w:r>
            <w:r>
              <w:rPr>
                <w:rFonts w:ascii="PT Astra Serif" w:hAnsi="PT Astra Serif"/>
              </w:rPr>
              <w:t xml:space="preserve">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</w:t>
            </w:r>
            <w:r>
              <w:rPr>
                <w:rFonts w:ascii="PT Astra Serif" w:hAnsi="PT Astra Serif"/>
              </w:rPr>
              <w:t xml:space="preserve">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обязательных требований (далее – предостережение) и предлагает принять меры</w:t>
            </w:r>
            <w:r>
              <w:rPr>
                <w:rFonts w:ascii="PT Astra Serif" w:hAnsi="PT Astra Serif"/>
              </w:rPr>
              <w:t xml:space="preserve"> по обеспечению соблюдения обязательных требований.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Контролируемое лицо в течение десяти календарных дней со дня получения предостережения вправе подать в </w:t>
            </w:r>
            <w:r>
              <w:rPr>
                <w:rFonts w:ascii="PT Astra Serif" w:hAnsi="PT Astra Serif" w:cs="PT Astra Serif"/>
              </w:rPr>
              <w:t xml:space="preserve">Департамент </w:t>
            </w:r>
            <w:r>
              <w:rPr>
                <w:rFonts w:ascii="PT Astra Serif" w:hAnsi="PT Astra Serif"/>
              </w:rPr>
              <w:t xml:space="preserve">возражение в отношении предостережения (далее – возражение).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Возражение направляется в письменной форме почтовым отправлением либо в виде электронного документа на адрес электронной почты </w:t>
            </w:r>
            <w:r>
              <w:rPr>
                <w:rFonts w:ascii="PT Astra Serif" w:hAnsi="PT Astra Serif" w:cs="PT Astra Serif"/>
              </w:rPr>
              <w:t xml:space="preserve">Департамента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Возражение должно содержать следующую информацию: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1) данные контролируемого лица (наименование юридического лица, фамилия, имя, отчество (последнее – при наличии) индивидуального предпринимателя, идентификационный номер налогоплательщика);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2) дата и номер предостережения;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3) дата получения предостережения контролируемым лицом;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4) доводы, на основании которых контролируемое лицо </w:t>
            </w:r>
            <w:r>
              <w:rPr>
                <w:rFonts w:ascii="PT Astra Serif" w:hAnsi="PT Astra Serif" w:cs="PT Astra Serif"/>
              </w:rPr>
              <w:t xml:space="preserve">не согласно</w:t>
            </w:r>
            <w:r>
              <w:rPr>
                <w:rFonts w:ascii="PT Astra Serif" w:hAnsi="PT Astra Serif" w:cs="PT Astra Serif"/>
              </w:rPr>
              <w:t xml:space="preserve"> с объявленным предостережением;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5) должность, фамилия, имя, отчество (последнее – при наличии), подпись лица, направившего возражение;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6) дата направления возражения.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 итогам рассмотрения возражения</w:t>
            </w:r>
            <w:r>
              <w:rPr>
                <w:rFonts w:ascii="PT Astra Serif" w:hAnsi="PT Astra Serif" w:cs="PT Astra Serif"/>
              </w:rPr>
              <w:t xml:space="preserve"> Департамент </w:t>
            </w:r>
            <w:r>
              <w:rPr>
                <w:rFonts w:ascii="PT Astra Serif" w:hAnsi="PT Astra Serif"/>
              </w:rPr>
              <w:t xml:space="preserve">принимает одно из следующих решений: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оставление предостережения о недопустимости нарушения обязательных требований без изменения;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отмена предостережения о недопустимости нарушения обязательных требований.</w:t>
            </w:r>
            <w:r>
              <w:rPr>
                <w:rFonts w:ascii="PT Astra Serif" w:hAnsi="PT Astra Serif"/>
              </w:rPr>
            </w:r>
          </w:p>
          <w:p>
            <w:pPr>
              <w:ind w:firstLine="6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Департамент рассматривает возражение в течение десяти рабочих дней со дня получения возражения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 не позднее пяти рабочих дней со дня рассмотрения возражения информирует контролируемое лицо о результатах рассмотрения возражения в порядке, установленном </w:t>
            </w:r>
            <w:hyperlink r:id="rId14" w:tooltip="consultantplus://offline/ref=F98038EDA2D517750F52955480D68E853A67DF89477E7B3089ED2A24D3C0BB900162AA19832A3085AC154344FC13E8BC73000B57E4E058FCE5GB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статьей 21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Федерального закона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ind w:firstLine="675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Департамент осуществляет учет предостережений и использует данные о результатах рассмотрения предостережений и возражениях, поступивших в Департамент, для проведения иных профилактических мероприятий и контрольных (надзорных) мероприятий.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течение года, при наличии сведений, указанных в части 1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статьи 49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Федерального закона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86"/>
        </w:trPr>
        <w:tc>
          <w:tcPr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Консультирование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Должностное лицо осуществляет консультирование контролируемых лиц и представителей контролируемых лиц</w:t>
            </w:r>
            <w:r>
              <w:rPr>
                <w:rFonts w:ascii="PT Astra Serif" w:hAnsi="PT Astra Serif" w:cs="PT Astra Serif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Время консультирования одного контролируемого лица или его представителя по телефону, посредством видео-конференц-связи либо на личном приеме не может превышать 15 минут.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Консультирование, в том числе письменное консультирование, осуществляется по следующим вопросам: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1) о предмете регионального контроля;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2) об обязательных требованиях, предъявляемых к деятельности контролируемого лица;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3) о видах профилактических мероприятий, проводимых Департаментом при осуществлении регионального контроля, порядке их проведения;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4) о видах контрольных (надзорных) мероприятий, проводимых Департаментом при осуществлении регионального контроля, порядке их проведения;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5) о порядке обжалования решений Департамента, действий (бездействия) должностных лиц Департамента.</w:t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итогам консультиров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ания информация в письменной форме контролируемым лицам и представителям контролируемых лиц не предоставляется, за исключением случаев консультирования на основании обращений контролируемых лиц и их представителей, поступивших в соответствии с Федеральным </w:t>
            </w:r>
            <w:hyperlink r:id="rId15" w:tooltip="consultantplus://offline/ref=306A27D0D8C01DDAB95F8591C324172DE71C1571798694F32C712383E68BC8FB464C5F651703CF50B814244F485Bh9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от 2 мая 2006 года № 59-ФЗ «О порядке рассмотрения обращений граждан Российской Федерации».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Консультирование по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однотипным обращениям контролируемых лиц и представителей контролируемых лиц при наличии двух и более обращений по одним и тем же вопросам от разных контролируемых лиц и представителей контролируемых лиц осуществляется Департаментом посредством размещения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сайте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Департамента письменного разъяснения, подписанного начальником Департамента, без указания в таком разъяснении сведений, отнесенных к категории ограниченного доступа.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осуществляют: 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редседатель комитета регулирования естественных монополий, заместитель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редседателя комитета регулирования естественных монополий,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 - председатель комитета по организационно-правовой работе и консультанты комитета по организационно-правовой работе.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Письменное консультирование на основании обращений контролируемых лиц и их представителей, поступивших в соответствии с Федеральным </w:t>
            </w:r>
            <w:hyperlink r:id="rId16" w:tooltip="consultantplus://offline/ref=306A27D0D8C01DDAB95F8591C324172DE71C1571798694F32C712383E68BC8FB464C5F651703CF50B814244F485Bh9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от 2 мая 2006 года № 59-ФЗ «О порядке рассмотрения обращений граждан Российской Федерации» осуществляет начальник департамента.</w:t>
            </w:r>
            <w:r>
              <w:rPr>
                <w:rFonts w:ascii="PT Astra Serif" w:hAnsi="PT Astra Serif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При поступлении устных и письменных обращений от контролируемых лиц</w:t>
            </w:r>
            <w:r>
              <w:rPr>
                <w:rFonts w:ascii="PT Astra Serif" w:hAnsi="PT Astra Serif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11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Профилактический визит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tabs>
                <w:tab w:val="left" w:pos="113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Профилактический визит проводится </w:t>
            </w:r>
            <w:r>
              <w:rPr>
                <w:rFonts w:ascii="PT Astra Serif" w:hAnsi="PT Astra Serif"/>
              </w:rPr>
              <w:t xml:space="preserve">в соответствии со статьей 52 </w:t>
            </w:r>
            <w:r>
              <w:rPr>
                <w:rStyle w:val="717"/>
                <w:rFonts w:ascii="PT Astra Serif" w:hAnsi="PT Astra Serif"/>
              </w:rPr>
              <w:t xml:space="preserve">Федерального закона </w:t>
            </w:r>
            <w:r>
              <w:rPr>
                <w:rFonts w:ascii="PT Astra Serif" w:hAnsi="PT Astra Serif" w:cs="PT Astra Serif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деятельности.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Обязательные профилактические визиты проводятся в отношении контролируемых лиц, приступающих к осуществлению регулируемых видов деятельности </w:t>
            </w:r>
            <w:r>
              <w:rPr>
                <w:rFonts w:ascii="PT Astra Serif" w:hAnsi="PT Astra Serif" w:cs="PT Astra Serif"/>
                <w:bCs/>
              </w:rPr>
              <w:t xml:space="preserve">в области государственного регулирования цен (тарифов)</w:t>
            </w:r>
            <w:r>
              <w:rPr>
                <w:rFonts w:ascii="PT Astra Serif" w:hAnsi="PT Astra Serif" w:cs="PT Astra Serif"/>
              </w:rPr>
              <w:t xml:space="preserve">, не позднее чем в течение одного года с даты начала деятельности.</w:t>
            </w:r>
            <w:r>
              <w:rPr>
                <w:rFonts w:ascii="PT Astra Serif" w:hAnsi="PT Astra Serif"/>
              </w:rPr>
            </w:r>
          </w:p>
          <w:p>
            <w:pPr>
              <w:pStyle w:val="716"/>
              <w:ind w:firstLine="675"/>
              <w:jc w:val="center"/>
              <w:spacing w:before="0" w:beforeAutospacing="0" w:after="0" w:afterAutospacing="0"/>
              <w:shd w:val="clear" w:color="auto" w:fill="fffffc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Контролируемое лицо уведомляется о проведении обязательного профилактического визита не позднее, чем за пять рабочих дней до даты проведения обязательного профилактического визита.</w:t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Уведомление о проведении обязательного профилактического визита содержит следующие сведения: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1) дата, время и место составления уведомления;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2) наименование Департамента;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3) полное наименование контролируемого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4) фамилия, имя, отчество (последнее - при наличии) 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олжностного лица, которое будет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проводить обязательный профилактический визит;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5) дата, время и место проведения обязательного профилактического визита;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6) подпись начальника Департамента.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Уведомление о проведении обязательного профилактического визита направляется в адрес контролируемого лица в порядке, предусмотренном Федеральным </w:t>
            </w:r>
            <w:hyperlink r:id="rId17" w:tooltip="consultantplus://offline/ref=98AE9F9F96A89E9A16CCD9D00CAF5BD9EAD649E212863206647AEE2795E7C98EFF96CB8C0A11CBD1A0A7D5C47FfDrEF" w:history="1">
              <w:r>
                <w:rPr>
                  <w:rFonts w:ascii="PT Astra Serif" w:hAnsi="PT Astra Serif" w:cs="PT Astra Seri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ходе профилактического визита может осуществляться консультирование контролируемого лица в порядке, установленном пунктом 13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Положени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 о региональном государственном контроле (надзоре) в области государственного регулирования цен (тарифов) на территории Томской области, утвержденн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ого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Томской области от 01.10.2021 № 421а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Срок проведения профилактического визита, обязательного профилактического визита не может превышать один рабочий день.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рба) охраняемым законом ценностям или такой вред (ущерб) причинен, должностное лицо, которое проводит профилактический визит, в тот же день информирует об этом начальника Департамента для принятия решения о проведении контрольного (надзорного) мероприятия.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54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итогам обязательного профилактического визита составляется акт о проведении обязательного профилактического визита. Форма акта о проведении обязательного профилактического визита утверждается распоряжением Департамента.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Председатель комитета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регулирования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естественных монополий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заместитель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редседателя комитета регулирования естественных монополий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Обязательные профилак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тические визиты будут проведены в случае появления оснований.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соответствии с частью 6 статьи 52 Федерального закона к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онтролируемое лицо вправе отказаться от проведения обязательного профилактического визита, уведомив об этом контрольный (надзорный) орган не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позднее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 чем за три рабочих дня до даты его проведения.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color w:val="ff0000"/>
          <w:sz w:val="24"/>
          <w:szCs w:val="24"/>
        </w:rPr>
      </w:r>
      <w:r>
        <w:rPr>
          <w:rFonts w:ascii="PT Astra Serif" w:hAnsi="PT Astra Serif" w:cs="Times New Roman"/>
          <w:color w:val="ff00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2430870"/>
      <w:docPartObj>
        <w:docPartGallery w:val="Page Numbers (Top of Page)"/>
        <w:docPartUnique w:val="true"/>
      </w:docPartObj>
      <w:rPr/>
    </w:sdtPr>
    <w:sdtContent>
      <w:p>
        <w:pPr>
          <w:pStyle w:val="7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>
      <w:t xml:space="preserve">6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7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11"/>
    <w:uiPriority w:val="99"/>
  </w:style>
  <w:style w:type="character" w:styleId="45">
    <w:name w:val="Footer Char"/>
    <w:basedOn w:val="697"/>
    <w:link w:val="713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2"/>
    <w:uiPriority w:val="99"/>
    <w:rPr>
      <w:sz w:val="18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paragraph" w:styleId="696">
    <w:name w:val="Heading 1"/>
    <w:basedOn w:val="695"/>
    <w:next w:val="695"/>
    <w:link w:val="70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01" w:customStyle="1">
    <w:name w:val="Заголовок 1 Знак"/>
    <w:basedOn w:val="697"/>
    <w:link w:val="69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2">
    <w:name w:val="footnote text"/>
    <w:basedOn w:val="695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Текст сноски Знак"/>
    <w:basedOn w:val="697"/>
    <w:link w:val="702"/>
    <w:uiPriority w:val="99"/>
    <w:semiHidden/>
    <w:rPr>
      <w:sz w:val="20"/>
      <w:szCs w:val="20"/>
    </w:rPr>
  </w:style>
  <w:style w:type="character" w:styleId="704">
    <w:name w:val="footnote reference"/>
    <w:uiPriority w:val="99"/>
    <w:rPr>
      <w:vertAlign w:val="superscript"/>
    </w:rPr>
  </w:style>
  <w:style w:type="paragraph" w:styleId="705">
    <w:name w:val="List Paragraph"/>
    <w:basedOn w:val="695"/>
    <w:uiPriority w:val="34"/>
    <w:qFormat/>
    <w:pPr>
      <w:contextualSpacing/>
      <w:ind w:left="720"/>
    </w:pPr>
  </w:style>
  <w:style w:type="table" w:styleId="706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Arial" w:cs="Arial"/>
      <w:sz w:val="20"/>
      <w:szCs w:val="20"/>
      <w:lang w:eastAsia="ar-SA"/>
    </w:rPr>
  </w:style>
  <w:style w:type="character" w:styleId="708">
    <w:name w:val="Hyperlink"/>
    <w:rPr>
      <w:color w:val="0000ff"/>
      <w:u w:val="single"/>
    </w:rPr>
  </w:style>
  <w:style w:type="paragraph" w:styleId="709">
    <w:name w:val="Balloon Text"/>
    <w:basedOn w:val="695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97"/>
    <w:link w:val="709"/>
    <w:uiPriority w:val="99"/>
    <w:semiHidden/>
    <w:rPr>
      <w:rFonts w:ascii="Tahoma" w:hAnsi="Tahoma" w:cs="Tahoma"/>
      <w:sz w:val="16"/>
      <w:szCs w:val="16"/>
    </w:rPr>
  </w:style>
  <w:style w:type="paragraph" w:styleId="711">
    <w:name w:val="Header"/>
    <w:basedOn w:val="695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697"/>
    <w:link w:val="711"/>
    <w:uiPriority w:val="99"/>
  </w:style>
  <w:style w:type="paragraph" w:styleId="713">
    <w:name w:val="Footer"/>
    <w:basedOn w:val="695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97"/>
    <w:link w:val="713"/>
    <w:uiPriority w:val="99"/>
  </w:style>
  <w:style w:type="paragraph" w:styleId="715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16">
    <w:name w:val="Normal (Web)"/>
    <w:basedOn w:val="69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7" w:customStyle="1">
    <w:name w:val="cmdno"/>
    <w:basedOn w:val="69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CB50FA61FEBDCEDC226D4F9C5F54EEB0E71E21D7D8FDAD111EA921027DBD4DFC672D455FFEB7BC3F94FD53E5BEfFx4H" TargetMode="External"/><Relationship Id="rId13" Type="http://schemas.openxmlformats.org/officeDocument/2006/relationships/hyperlink" Target="consultantplus://offline/ref=4DE7E23BAF623F9284246F5293CA571D1729A49F100D864E6DC86FEB966F44D7FE90E9474E4C1544EDB79C908CE9BE44DC66BFACD6E44851l8t2H" TargetMode="External"/><Relationship Id="rId14" Type="http://schemas.openxmlformats.org/officeDocument/2006/relationships/hyperlink" Target="consultantplus://offline/ref=F98038EDA2D517750F52955480D68E853A67DF89477E7B3089ED2A24D3C0BB900162AA19832A3085AC154344FC13E8BC73000B57E4E058FCE5GBF" TargetMode="External"/><Relationship Id="rId15" Type="http://schemas.openxmlformats.org/officeDocument/2006/relationships/hyperlink" Target="consultantplus://offline/ref=306A27D0D8C01DDAB95F8591C324172DE71C1571798694F32C712383E68BC8FB464C5F651703CF50B814244F485Bh9F" TargetMode="External"/><Relationship Id="rId16" Type="http://schemas.openxmlformats.org/officeDocument/2006/relationships/hyperlink" Target="consultantplus://offline/ref=306A27D0D8C01DDAB95F8591C324172DE71C1571798694F32C712383E68BC8FB464C5F651703CF50B814244F485Bh9F" TargetMode="External"/><Relationship Id="rId17" Type="http://schemas.openxmlformats.org/officeDocument/2006/relationships/hyperlink" Target="consultantplus://offline/ref=98AE9F9F96A89E9A16CCD9D00CAF5BD9EAD649E212863206647AEE2795E7C98EFF96CB8C0A11CBD1A0A7D5C47FfDr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1E89-9453-4413-B3B0-6D9049A2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ДТРГЗ Томской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revision>15</cp:revision>
  <dcterms:created xsi:type="dcterms:W3CDTF">2021-10-14T07:00:00Z</dcterms:created>
  <dcterms:modified xsi:type="dcterms:W3CDTF">2023-10-24T02:44:20Z</dcterms:modified>
</cp:coreProperties>
</file>