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18" w:rsidRPr="008D3518" w:rsidRDefault="008D3518">
      <w:pPr>
        <w:pStyle w:val="ConsPlusTitle"/>
        <w:jc w:val="center"/>
        <w:outlineLvl w:val="0"/>
      </w:pPr>
      <w:bookmarkStart w:id="0" w:name="_GoBack"/>
      <w:r w:rsidRPr="008D3518">
        <w:t>Департамент тарифного регулирования</w:t>
      </w:r>
    </w:p>
    <w:p w:rsidR="008D3518" w:rsidRPr="008D3518" w:rsidRDefault="008D3518">
      <w:pPr>
        <w:pStyle w:val="ConsPlusTitle"/>
        <w:jc w:val="center"/>
      </w:pPr>
      <w:r w:rsidRPr="008D3518">
        <w:t>Томской области</w:t>
      </w:r>
    </w:p>
    <w:p w:rsidR="008D3518" w:rsidRPr="008D3518" w:rsidRDefault="008D3518">
      <w:pPr>
        <w:pStyle w:val="ConsPlusTitle"/>
        <w:jc w:val="center"/>
      </w:pPr>
    </w:p>
    <w:p w:rsidR="008D3518" w:rsidRPr="008D3518" w:rsidRDefault="008D3518">
      <w:pPr>
        <w:pStyle w:val="ConsPlusTitle"/>
        <w:jc w:val="center"/>
      </w:pPr>
      <w:r w:rsidRPr="008D3518">
        <w:t>Приказ</w:t>
      </w:r>
    </w:p>
    <w:p w:rsidR="008D3518" w:rsidRPr="008D3518" w:rsidRDefault="008D3518">
      <w:pPr>
        <w:pStyle w:val="ConsPlusTitle"/>
        <w:jc w:val="center"/>
      </w:pPr>
      <w:r w:rsidRPr="008D3518">
        <w:t xml:space="preserve">от 28 марта 2014 г. </w:t>
      </w:r>
      <w:r>
        <w:t>№</w:t>
      </w:r>
      <w:r w:rsidRPr="008D3518">
        <w:t xml:space="preserve"> 8/50</w:t>
      </w:r>
    </w:p>
    <w:p w:rsidR="008D3518" w:rsidRPr="008D3518" w:rsidRDefault="008D3518">
      <w:pPr>
        <w:pStyle w:val="ConsPlusTitle"/>
        <w:jc w:val="center"/>
      </w:pPr>
    </w:p>
    <w:p w:rsidR="008D3518" w:rsidRPr="008D3518" w:rsidRDefault="008D3518">
      <w:pPr>
        <w:pStyle w:val="ConsPlusTitle"/>
        <w:jc w:val="center"/>
      </w:pPr>
      <w:r w:rsidRPr="008D3518">
        <w:t>Об установлении минимальных значений целевых показателей энергосбережения и повышения энергетической эффективности для территориальных сетевых организаций</w:t>
      </w:r>
    </w:p>
    <w:p w:rsidR="008D3518" w:rsidRPr="008D3518" w:rsidRDefault="008D3518">
      <w:pPr>
        <w:pStyle w:val="ConsPlusNormal"/>
        <w:jc w:val="center"/>
      </w:pPr>
    </w:p>
    <w:p w:rsidR="008D3518" w:rsidRPr="008D3518" w:rsidRDefault="008D3518">
      <w:pPr>
        <w:pStyle w:val="ConsPlusNormal"/>
        <w:ind w:firstLine="540"/>
        <w:jc w:val="both"/>
      </w:pPr>
      <w:r w:rsidRPr="008D3518">
        <w:t xml:space="preserve">В соответствии с Федеральным законом от 23.11.2009 </w:t>
      </w:r>
      <w:r>
        <w:t>№</w:t>
      </w:r>
      <w:r w:rsidRPr="008D3518">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8D3518">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8D3518">
        <w:t xml:space="preserve"> 145, и решением Правления Департамента тарифного регулирования Томской области по вопросам электроэнергетики от 28.03.2014 </w:t>
      </w:r>
      <w:r>
        <w:t>№</w:t>
      </w:r>
      <w:r w:rsidRPr="008D3518">
        <w:t xml:space="preserve"> 8/2 приказываю:</w:t>
      </w:r>
    </w:p>
    <w:p w:rsidR="008D3518" w:rsidRPr="008D3518" w:rsidRDefault="008D3518">
      <w:pPr>
        <w:pStyle w:val="ConsPlusNormal"/>
        <w:spacing w:before="260"/>
        <w:ind w:firstLine="540"/>
        <w:jc w:val="both"/>
      </w:pPr>
      <w:r w:rsidRPr="008D3518">
        <w:t xml:space="preserve">1. Утвердить территориальным сетевым организациям минимальные значения целевых показателей энергосбережения и повышения энергетической эффективности согласно приложению </w:t>
      </w:r>
      <w:r>
        <w:t>№</w:t>
      </w:r>
      <w:r w:rsidRPr="008D3518">
        <w:t xml:space="preserve"> 1 к настоящему приказу.</w:t>
      </w:r>
    </w:p>
    <w:p w:rsidR="008D3518" w:rsidRPr="008D3518" w:rsidRDefault="008D3518">
      <w:pPr>
        <w:pStyle w:val="ConsPlusNormal"/>
        <w:spacing w:before="260"/>
        <w:ind w:firstLine="540"/>
        <w:jc w:val="both"/>
      </w:pPr>
      <w:r w:rsidRPr="008D3518">
        <w:t xml:space="preserve">2. Территориальным сетевым организациям в срок не позднее 3-х месяцев с даты опубликования настоящего приказа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 утвержденным приказом Департамента тарифного регулирования Томской области от 28.03.2014 </w:t>
      </w:r>
      <w:r>
        <w:t>№</w:t>
      </w:r>
      <w:r w:rsidRPr="008D3518">
        <w:t xml:space="preserve"> 8/49 "Об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8D3518" w:rsidRPr="008D3518" w:rsidRDefault="008D3518">
      <w:pPr>
        <w:pStyle w:val="ConsPlusNormal"/>
        <w:spacing w:before="260"/>
        <w:ind w:firstLine="540"/>
        <w:jc w:val="both"/>
      </w:pPr>
      <w:r w:rsidRPr="008D3518">
        <w:t xml:space="preserve">3. Установить для территориальных сетевых организаций срок предоставления отчетности по программам в области энергосбережения и повышения энергетической эффективности: квартальной - не позднее 2-х недель с даты окончания отчетного квартала, годовой - не позднее 1 февраля года, следующего за отчетным, по формам, утвержденным приказом Департамента тарифного регулирования Томской области от 28.03.2014 </w:t>
      </w:r>
      <w:r>
        <w:t>№</w:t>
      </w:r>
      <w:r w:rsidRPr="008D3518">
        <w:t xml:space="preserve"> 8/49 "Об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8D3518" w:rsidRPr="008D3518" w:rsidRDefault="008D3518">
      <w:pPr>
        <w:pStyle w:val="ConsPlusNormal"/>
        <w:spacing w:before="260"/>
        <w:ind w:firstLine="540"/>
        <w:jc w:val="both"/>
      </w:pPr>
      <w:r w:rsidRPr="008D3518">
        <w:t xml:space="preserve">4. Установить для территориальных сетевых организаций срок предоставления предложений к программам в области энергосбережения и повышения энергетической эффективности не позднее 1 февраля года, предшествующего году, </w:t>
      </w:r>
      <w:r w:rsidRPr="008D3518">
        <w:lastRenderedPageBreak/>
        <w:t xml:space="preserve">в котором требования к программам должны быть установлены (скорректированы), по формам, утвержденным приказом Департамента тарифного регулирования Томской области от 28.03.2014 </w:t>
      </w:r>
      <w:r>
        <w:t>№</w:t>
      </w:r>
      <w:r w:rsidRPr="008D3518">
        <w:t xml:space="preserve"> 8/49 "Об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8D3518" w:rsidRPr="008D3518" w:rsidRDefault="008D3518">
      <w:pPr>
        <w:pStyle w:val="ConsPlusNormal"/>
        <w:spacing w:before="260"/>
        <w:ind w:firstLine="540"/>
        <w:jc w:val="both"/>
      </w:pPr>
      <w:r w:rsidRPr="008D3518">
        <w:t>4-1. Установить для территориальных сетевых организаций 3-месячный срок приведения программ в области энергосбережения и повышения энергетической эффективности в соответствие с установленными требованиями.</w:t>
      </w:r>
    </w:p>
    <w:p w:rsidR="008D3518" w:rsidRPr="008D3518" w:rsidRDefault="008D3518">
      <w:pPr>
        <w:pStyle w:val="ConsPlusNormal"/>
        <w:spacing w:before="260"/>
        <w:ind w:firstLine="540"/>
        <w:jc w:val="both"/>
      </w:pPr>
      <w:r w:rsidRPr="008D3518">
        <w:t>4-2. 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8D3518" w:rsidRPr="008D3518" w:rsidRDefault="008D3518">
      <w:pPr>
        <w:pStyle w:val="ConsPlusNormal"/>
        <w:spacing w:before="260"/>
        <w:ind w:firstLine="540"/>
        <w:jc w:val="both"/>
      </w:pPr>
      <w:r w:rsidRPr="008D3518">
        <w:t xml:space="preserve">5. Признать приказ Департамента тарифного регулирования и государственного заказа Томской области от 06.07.2012 </w:t>
      </w:r>
      <w:r>
        <w:t>№</w:t>
      </w:r>
      <w:r w:rsidRPr="008D3518">
        <w:t xml:space="preserve"> 24/246 "Об утверждении значений целевых показателей энергосбережения и повышения энергетической эффективности для территориальных сетевых организаций Томской области до 2015 года" ("Собрание законодательства Томской области", 16.07.2012, </w:t>
      </w:r>
      <w:r>
        <w:t>№</w:t>
      </w:r>
      <w:r w:rsidRPr="008D3518">
        <w:t xml:space="preserve"> 7/1(84)), приказ Департамента тарифного регулирования и государственного заказа Томской области от 31.08.2012 </w:t>
      </w:r>
      <w:r>
        <w:t>№</w:t>
      </w:r>
      <w:r w:rsidRPr="008D3518">
        <w:t xml:space="preserve"> 31/317 "Об утверждении значений целевых показателей энергосбережения и повышения энергетической эффективности для открытого акционерного общества "Томская распределительная компания" до 2017 года" ("Собрание законодательства Томской области", 14.09.2012, </w:t>
      </w:r>
      <w:r>
        <w:t>№</w:t>
      </w:r>
      <w:r w:rsidRPr="008D3518">
        <w:t xml:space="preserve"> 09/1(86)), приказ Департамента тарифного регулирования и государственного заказа Томской области от 21.12.2012 </w:t>
      </w:r>
      <w:r>
        <w:t>№</w:t>
      </w:r>
      <w:r w:rsidRPr="008D3518">
        <w:t xml:space="preserve"> 47/684 "Об утверждении значений целевых показателей энергосбережения и повышения энергетической эффективности для территориальных сетевых организаций Томской области до 2015 года" ("Собрание законодательства Томской области", 29.12.2012, </w:t>
      </w:r>
      <w:r>
        <w:t>№</w:t>
      </w:r>
      <w:r w:rsidRPr="008D3518">
        <w:t xml:space="preserve"> 12/2(89) часть 2) утратившими силу с 01.01.2015.</w:t>
      </w:r>
    </w:p>
    <w:p w:rsidR="008D3518" w:rsidRPr="008D3518" w:rsidRDefault="008D3518">
      <w:pPr>
        <w:pStyle w:val="ConsPlusNormal"/>
        <w:spacing w:before="260"/>
        <w:ind w:firstLine="540"/>
        <w:jc w:val="both"/>
      </w:pPr>
      <w:r w:rsidRPr="008D3518">
        <w:t xml:space="preserve">6. Исключен. - Приказ Департамента тарифного регулирования Томской области от 22.06.2020 </w:t>
      </w:r>
      <w:r>
        <w:t>№</w:t>
      </w:r>
      <w:r w:rsidRPr="008D3518">
        <w:t xml:space="preserve"> 6-58.</w:t>
      </w:r>
    </w:p>
    <w:p w:rsidR="008D3518" w:rsidRPr="008D3518" w:rsidRDefault="008D3518">
      <w:pPr>
        <w:pStyle w:val="ConsPlusNormal"/>
        <w:spacing w:before="260"/>
        <w:ind w:firstLine="540"/>
        <w:jc w:val="both"/>
      </w:pPr>
      <w:r w:rsidRPr="008D3518">
        <w:t>7. Настоящий приказ вступает в силу с момента опубликования.</w:t>
      </w:r>
    </w:p>
    <w:p w:rsidR="008D3518" w:rsidRPr="008D3518" w:rsidRDefault="008D3518">
      <w:pPr>
        <w:pStyle w:val="ConsPlusNormal"/>
        <w:ind w:firstLine="540"/>
        <w:jc w:val="both"/>
      </w:pPr>
    </w:p>
    <w:p w:rsidR="008D3518" w:rsidRPr="008D3518" w:rsidRDefault="008D3518">
      <w:pPr>
        <w:pStyle w:val="ConsPlusNormal"/>
        <w:jc w:val="right"/>
      </w:pPr>
      <w:r w:rsidRPr="008D3518">
        <w:t>Начальник Департамента</w:t>
      </w:r>
    </w:p>
    <w:p w:rsidR="008D3518" w:rsidRPr="008D3518" w:rsidRDefault="008D3518">
      <w:pPr>
        <w:pStyle w:val="ConsPlusNormal"/>
        <w:jc w:val="right"/>
      </w:pPr>
      <w:r w:rsidRPr="008D3518">
        <w:t>М.Д.ВАГИНА</w:t>
      </w:r>
    </w:p>
    <w:p w:rsidR="008D3518" w:rsidRPr="008D3518" w:rsidRDefault="008D3518">
      <w:pPr>
        <w:pStyle w:val="ConsPlusNormal"/>
        <w:ind w:firstLine="540"/>
        <w:jc w:val="both"/>
      </w:pPr>
    </w:p>
    <w:p w:rsidR="008D3518" w:rsidRPr="008D3518" w:rsidRDefault="008D3518">
      <w:pPr>
        <w:pStyle w:val="ConsPlusNormal"/>
        <w:ind w:firstLine="540"/>
        <w:jc w:val="both"/>
      </w:pPr>
    </w:p>
    <w:p w:rsidR="008D3518" w:rsidRPr="008D3518" w:rsidRDefault="008D3518">
      <w:pPr>
        <w:pStyle w:val="ConsPlusNormal"/>
        <w:ind w:firstLine="540"/>
        <w:jc w:val="both"/>
      </w:pPr>
    </w:p>
    <w:p w:rsidR="008D3518" w:rsidRPr="008D3518" w:rsidRDefault="008D3518">
      <w:pPr>
        <w:pStyle w:val="ConsPlusNormal"/>
        <w:ind w:firstLine="540"/>
        <w:jc w:val="both"/>
      </w:pPr>
    </w:p>
    <w:p w:rsidR="008D3518" w:rsidRPr="008D3518" w:rsidRDefault="008D3518">
      <w:pPr>
        <w:pStyle w:val="ConsPlusNormal"/>
        <w:jc w:val="center"/>
      </w:pPr>
    </w:p>
    <w:p w:rsidR="008D3518" w:rsidRPr="008D3518" w:rsidRDefault="008D3518">
      <w:pPr>
        <w:pStyle w:val="ConsPlusNormal"/>
        <w:jc w:val="right"/>
        <w:outlineLvl w:val="0"/>
      </w:pPr>
      <w:r w:rsidRPr="008D3518">
        <w:t xml:space="preserve">Приложение </w:t>
      </w:r>
      <w:r>
        <w:t>№</w:t>
      </w:r>
      <w:r w:rsidRPr="008D3518">
        <w:t xml:space="preserve"> 1</w:t>
      </w:r>
    </w:p>
    <w:p w:rsidR="008D3518" w:rsidRPr="008D3518" w:rsidRDefault="008D3518">
      <w:pPr>
        <w:pStyle w:val="ConsPlusNormal"/>
        <w:jc w:val="right"/>
      </w:pPr>
      <w:r w:rsidRPr="008D3518">
        <w:lastRenderedPageBreak/>
        <w:t>к приказу</w:t>
      </w:r>
    </w:p>
    <w:p w:rsidR="008D3518" w:rsidRPr="008D3518" w:rsidRDefault="008D3518">
      <w:pPr>
        <w:pStyle w:val="ConsPlusNormal"/>
        <w:jc w:val="right"/>
      </w:pPr>
      <w:r w:rsidRPr="008D3518">
        <w:t>Департамента тарифного регулирования</w:t>
      </w:r>
    </w:p>
    <w:p w:rsidR="008D3518" w:rsidRPr="008D3518" w:rsidRDefault="008D3518">
      <w:pPr>
        <w:pStyle w:val="ConsPlusNormal"/>
        <w:jc w:val="right"/>
      </w:pPr>
      <w:r w:rsidRPr="008D3518">
        <w:t>Томской области</w:t>
      </w:r>
    </w:p>
    <w:p w:rsidR="008D3518" w:rsidRPr="008D3518" w:rsidRDefault="008D3518">
      <w:pPr>
        <w:pStyle w:val="ConsPlusNormal"/>
        <w:jc w:val="right"/>
      </w:pPr>
      <w:r w:rsidRPr="008D3518">
        <w:t xml:space="preserve">от 28.03.2014 </w:t>
      </w:r>
      <w:r>
        <w:t>№</w:t>
      </w:r>
      <w:r w:rsidRPr="008D3518">
        <w:t xml:space="preserve"> 8/50</w:t>
      </w:r>
    </w:p>
    <w:p w:rsidR="008D3518" w:rsidRPr="008D3518" w:rsidRDefault="008D3518">
      <w:pPr>
        <w:pStyle w:val="ConsPlusNormal"/>
      </w:pPr>
    </w:p>
    <w:p w:rsidR="008D3518" w:rsidRPr="008D3518" w:rsidRDefault="008D3518">
      <w:pPr>
        <w:pStyle w:val="ConsPlusTitle"/>
        <w:jc w:val="center"/>
      </w:pPr>
      <w:bookmarkStart w:id="1" w:name="P35"/>
      <w:bookmarkEnd w:id="1"/>
      <w:r w:rsidRPr="008D3518">
        <w:t>МИНИМАЛЬНЫЕ ЗНАЧЕНИЯ</w:t>
      </w:r>
    </w:p>
    <w:p w:rsidR="008D3518" w:rsidRPr="008D3518" w:rsidRDefault="008D3518">
      <w:pPr>
        <w:pStyle w:val="ConsPlusTitle"/>
        <w:jc w:val="center"/>
      </w:pPr>
      <w:r w:rsidRPr="008D3518">
        <w:t>ЦЕЛЕВЫХ ПОКАЗАТЕЛЕЙ ЭНЕРГОСБЕРЕЖЕНИЯ И ПОВЫШЕНИЯ</w:t>
      </w:r>
    </w:p>
    <w:p w:rsidR="008D3518" w:rsidRPr="008D3518" w:rsidRDefault="008D3518">
      <w:pPr>
        <w:pStyle w:val="ConsPlusTitle"/>
        <w:jc w:val="center"/>
      </w:pPr>
      <w:r w:rsidRPr="008D3518">
        <w:t>ЭНЕРГЕТИЧЕСКОЙ ЭФФЕКТИВНОСТИ ДЛЯ ТЕРРИТОРИАЛЬНЫХ</w:t>
      </w:r>
    </w:p>
    <w:p w:rsidR="008D3518" w:rsidRPr="008D3518" w:rsidRDefault="008D3518">
      <w:pPr>
        <w:pStyle w:val="ConsPlusTitle"/>
        <w:jc w:val="center"/>
      </w:pPr>
      <w:r w:rsidRPr="008D3518">
        <w:t>СЕТЕВЫХ ОРГАНИЗАЦИЙ</w:t>
      </w:r>
    </w:p>
    <w:p w:rsidR="008D3518" w:rsidRPr="008D3518" w:rsidRDefault="008D35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710"/>
        <w:gridCol w:w="850"/>
        <w:gridCol w:w="907"/>
        <w:gridCol w:w="907"/>
      </w:tblGrid>
      <w:tr w:rsidR="008D3518" w:rsidRPr="008D3518">
        <w:tc>
          <w:tcPr>
            <w:tcW w:w="567" w:type="dxa"/>
            <w:vAlign w:val="center"/>
          </w:tcPr>
          <w:p w:rsidR="008D3518" w:rsidRPr="008D3518" w:rsidRDefault="008D3518">
            <w:pPr>
              <w:pStyle w:val="ConsPlusNormal"/>
              <w:jc w:val="center"/>
            </w:pPr>
            <w:r>
              <w:t>№</w:t>
            </w:r>
            <w:r w:rsidRPr="008D3518">
              <w:t xml:space="preserve"> п/п</w:t>
            </w:r>
          </w:p>
        </w:tc>
        <w:tc>
          <w:tcPr>
            <w:tcW w:w="5102" w:type="dxa"/>
            <w:vAlign w:val="center"/>
          </w:tcPr>
          <w:p w:rsidR="008D3518" w:rsidRPr="008D3518" w:rsidRDefault="008D3518">
            <w:pPr>
              <w:pStyle w:val="ConsPlusNormal"/>
              <w:jc w:val="center"/>
            </w:pPr>
            <w:r w:rsidRPr="008D3518">
              <w:t>Наименование показателя</w:t>
            </w:r>
          </w:p>
        </w:tc>
        <w:tc>
          <w:tcPr>
            <w:tcW w:w="710" w:type="dxa"/>
            <w:vAlign w:val="center"/>
          </w:tcPr>
          <w:p w:rsidR="008D3518" w:rsidRPr="008D3518" w:rsidRDefault="008D3518">
            <w:pPr>
              <w:pStyle w:val="ConsPlusNormal"/>
              <w:jc w:val="center"/>
            </w:pPr>
            <w:r w:rsidRPr="008D3518">
              <w:t>Ед. изм.</w:t>
            </w:r>
          </w:p>
        </w:tc>
        <w:tc>
          <w:tcPr>
            <w:tcW w:w="850" w:type="dxa"/>
            <w:vAlign w:val="center"/>
          </w:tcPr>
          <w:p w:rsidR="008D3518" w:rsidRPr="008D3518" w:rsidRDefault="008D3518">
            <w:pPr>
              <w:pStyle w:val="ConsPlusNormal"/>
              <w:jc w:val="center"/>
            </w:pPr>
            <w:r w:rsidRPr="008D3518">
              <w:t>i год &lt;*&gt;</w:t>
            </w:r>
          </w:p>
        </w:tc>
        <w:tc>
          <w:tcPr>
            <w:tcW w:w="907" w:type="dxa"/>
            <w:vAlign w:val="center"/>
          </w:tcPr>
          <w:p w:rsidR="008D3518" w:rsidRPr="008D3518" w:rsidRDefault="008D3518">
            <w:pPr>
              <w:pStyle w:val="ConsPlusNormal"/>
              <w:jc w:val="center"/>
            </w:pPr>
            <w:r w:rsidRPr="008D3518">
              <w:t>i+1 год &lt;*&gt;</w:t>
            </w:r>
          </w:p>
        </w:tc>
        <w:tc>
          <w:tcPr>
            <w:tcW w:w="907" w:type="dxa"/>
            <w:vAlign w:val="center"/>
          </w:tcPr>
          <w:p w:rsidR="008D3518" w:rsidRPr="008D3518" w:rsidRDefault="008D3518">
            <w:pPr>
              <w:pStyle w:val="ConsPlusNormal"/>
              <w:jc w:val="center"/>
            </w:pPr>
            <w:r w:rsidRPr="008D3518">
              <w:t>i+</w:t>
            </w:r>
            <w:r>
              <w:t>№</w:t>
            </w:r>
            <w:r w:rsidRPr="008D3518">
              <w:t xml:space="preserve"> год &lt;*&gt;</w:t>
            </w:r>
          </w:p>
        </w:tc>
      </w:tr>
      <w:tr w:rsidR="008D3518" w:rsidRPr="008D3518">
        <w:tc>
          <w:tcPr>
            <w:tcW w:w="567" w:type="dxa"/>
            <w:vAlign w:val="center"/>
          </w:tcPr>
          <w:p w:rsidR="008D3518" w:rsidRPr="008D3518" w:rsidRDefault="008D3518">
            <w:pPr>
              <w:pStyle w:val="ConsPlusNormal"/>
              <w:jc w:val="center"/>
            </w:pPr>
            <w:r w:rsidRPr="008D3518">
              <w:t>1</w:t>
            </w:r>
          </w:p>
        </w:tc>
        <w:tc>
          <w:tcPr>
            <w:tcW w:w="5102" w:type="dxa"/>
            <w:vAlign w:val="center"/>
          </w:tcPr>
          <w:p w:rsidR="008D3518" w:rsidRPr="008D3518" w:rsidRDefault="008D3518">
            <w:pPr>
              <w:pStyle w:val="ConsPlusNormal"/>
              <w:jc w:val="center"/>
            </w:pPr>
            <w:r w:rsidRPr="008D3518">
              <w:t>2</w:t>
            </w:r>
          </w:p>
        </w:tc>
        <w:tc>
          <w:tcPr>
            <w:tcW w:w="710" w:type="dxa"/>
            <w:vAlign w:val="center"/>
          </w:tcPr>
          <w:p w:rsidR="008D3518" w:rsidRPr="008D3518" w:rsidRDefault="008D3518">
            <w:pPr>
              <w:pStyle w:val="ConsPlusNormal"/>
              <w:jc w:val="center"/>
            </w:pPr>
            <w:r w:rsidRPr="008D3518">
              <w:t>3</w:t>
            </w:r>
          </w:p>
        </w:tc>
        <w:tc>
          <w:tcPr>
            <w:tcW w:w="850" w:type="dxa"/>
            <w:vAlign w:val="center"/>
          </w:tcPr>
          <w:p w:rsidR="008D3518" w:rsidRPr="008D3518" w:rsidRDefault="008D3518">
            <w:pPr>
              <w:pStyle w:val="ConsPlusNormal"/>
              <w:jc w:val="center"/>
            </w:pPr>
            <w:r w:rsidRPr="008D3518">
              <w:t>4</w:t>
            </w:r>
          </w:p>
        </w:tc>
        <w:tc>
          <w:tcPr>
            <w:tcW w:w="907" w:type="dxa"/>
            <w:vAlign w:val="center"/>
          </w:tcPr>
          <w:p w:rsidR="008D3518" w:rsidRPr="008D3518" w:rsidRDefault="008D3518">
            <w:pPr>
              <w:pStyle w:val="ConsPlusNormal"/>
              <w:jc w:val="center"/>
            </w:pPr>
            <w:r w:rsidRPr="008D3518">
              <w:t>5</w:t>
            </w:r>
          </w:p>
        </w:tc>
        <w:tc>
          <w:tcPr>
            <w:tcW w:w="907" w:type="dxa"/>
            <w:vAlign w:val="center"/>
          </w:tcPr>
          <w:p w:rsidR="008D3518" w:rsidRPr="008D3518" w:rsidRDefault="008D3518">
            <w:pPr>
              <w:pStyle w:val="ConsPlusNormal"/>
              <w:jc w:val="center"/>
            </w:pPr>
            <w:r w:rsidRPr="008D3518">
              <w:t>6</w:t>
            </w:r>
          </w:p>
        </w:tc>
      </w:tr>
      <w:tr w:rsidR="008D3518" w:rsidRPr="008D3518">
        <w:tc>
          <w:tcPr>
            <w:tcW w:w="567" w:type="dxa"/>
            <w:vAlign w:val="center"/>
          </w:tcPr>
          <w:p w:rsidR="008D3518" w:rsidRPr="008D3518" w:rsidRDefault="008D3518">
            <w:pPr>
              <w:pStyle w:val="ConsPlusNormal"/>
              <w:jc w:val="center"/>
            </w:pPr>
            <w:bookmarkStart w:id="2" w:name="P52"/>
            <w:bookmarkEnd w:id="2"/>
            <w:r w:rsidRPr="008D3518">
              <w:t>1.</w:t>
            </w:r>
          </w:p>
        </w:tc>
        <w:tc>
          <w:tcPr>
            <w:tcW w:w="5102" w:type="dxa"/>
            <w:vAlign w:val="center"/>
          </w:tcPr>
          <w:p w:rsidR="008D3518" w:rsidRPr="008D3518" w:rsidRDefault="008D3518">
            <w:pPr>
              <w:pStyle w:val="ConsPlusNormal"/>
            </w:pPr>
            <w:r w:rsidRPr="008D3518">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утвержденного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0,01</w:t>
            </w:r>
          </w:p>
        </w:tc>
        <w:tc>
          <w:tcPr>
            <w:tcW w:w="907" w:type="dxa"/>
            <w:vAlign w:val="center"/>
          </w:tcPr>
          <w:p w:rsidR="008D3518" w:rsidRPr="008D3518" w:rsidRDefault="008D3518">
            <w:pPr>
              <w:pStyle w:val="ConsPlusNormal"/>
              <w:jc w:val="center"/>
            </w:pPr>
            <w:r w:rsidRPr="008D3518">
              <w:t>0,01</w:t>
            </w:r>
          </w:p>
        </w:tc>
        <w:tc>
          <w:tcPr>
            <w:tcW w:w="907" w:type="dxa"/>
            <w:vAlign w:val="center"/>
          </w:tcPr>
          <w:p w:rsidR="008D3518" w:rsidRPr="008D3518" w:rsidRDefault="008D3518">
            <w:pPr>
              <w:pStyle w:val="ConsPlusNormal"/>
              <w:jc w:val="center"/>
            </w:pPr>
            <w:r w:rsidRPr="008D3518">
              <w:t>0,01</w:t>
            </w:r>
          </w:p>
        </w:tc>
      </w:tr>
      <w:tr w:rsidR="008D3518" w:rsidRPr="008D3518">
        <w:tc>
          <w:tcPr>
            <w:tcW w:w="567" w:type="dxa"/>
            <w:vAlign w:val="center"/>
          </w:tcPr>
          <w:p w:rsidR="008D3518" w:rsidRPr="008D3518" w:rsidRDefault="008D3518">
            <w:pPr>
              <w:pStyle w:val="ConsPlusNormal"/>
              <w:jc w:val="center"/>
            </w:pPr>
            <w:bookmarkStart w:id="3" w:name="P58"/>
            <w:bookmarkEnd w:id="3"/>
            <w:r w:rsidRPr="008D3518">
              <w:t>2.</w:t>
            </w:r>
          </w:p>
        </w:tc>
        <w:tc>
          <w:tcPr>
            <w:tcW w:w="5102" w:type="dxa"/>
            <w:vAlign w:val="center"/>
          </w:tcPr>
          <w:p w:rsidR="008D3518" w:rsidRPr="008D3518" w:rsidRDefault="008D3518">
            <w:pPr>
              <w:pStyle w:val="ConsPlusNormal"/>
            </w:pPr>
            <w:r w:rsidRPr="008D3518">
              <w:t>Сокращение удельного расхода электрической энергии на собственные нужды подстанций на 1 условную единицу оборудования подстанций</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0,02</w:t>
            </w:r>
          </w:p>
        </w:tc>
        <w:tc>
          <w:tcPr>
            <w:tcW w:w="907" w:type="dxa"/>
            <w:vAlign w:val="center"/>
          </w:tcPr>
          <w:p w:rsidR="008D3518" w:rsidRPr="008D3518" w:rsidRDefault="008D3518">
            <w:pPr>
              <w:pStyle w:val="ConsPlusNormal"/>
              <w:jc w:val="center"/>
            </w:pPr>
            <w:r w:rsidRPr="008D3518">
              <w:t>0,02</w:t>
            </w:r>
          </w:p>
        </w:tc>
        <w:tc>
          <w:tcPr>
            <w:tcW w:w="907" w:type="dxa"/>
            <w:vAlign w:val="center"/>
          </w:tcPr>
          <w:p w:rsidR="008D3518" w:rsidRPr="008D3518" w:rsidRDefault="008D3518">
            <w:pPr>
              <w:pStyle w:val="ConsPlusNormal"/>
              <w:jc w:val="center"/>
            </w:pPr>
            <w:r w:rsidRPr="008D3518">
              <w:t>0,02</w:t>
            </w:r>
          </w:p>
        </w:tc>
      </w:tr>
      <w:tr w:rsidR="008D3518" w:rsidRPr="008D3518">
        <w:tc>
          <w:tcPr>
            <w:tcW w:w="567" w:type="dxa"/>
            <w:vAlign w:val="center"/>
          </w:tcPr>
          <w:p w:rsidR="008D3518" w:rsidRPr="008D3518" w:rsidRDefault="008D3518">
            <w:pPr>
              <w:pStyle w:val="ConsPlusNormal"/>
              <w:jc w:val="center"/>
            </w:pPr>
            <w:r w:rsidRPr="008D3518">
              <w:t>3.</w:t>
            </w:r>
          </w:p>
        </w:tc>
        <w:tc>
          <w:tcPr>
            <w:tcW w:w="5102" w:type="dxa"/>
            <w:vAlign w:val="center"/>
          </w:tcPr>
          <w:p w:rsidR="008D3518" w:rsidRPr="008D3518" w:rsidRDefault="008D3518">
            <w:pPr>
              <w:pStyle w:val="ConsPlusNormal"/>
            </w:pPr>
            <w:r w:rsidRPr="008D3518">
              <w:t>Оснащенность зданий, строений, сооружений, находящихся в собственности организации (на ином праве), приборами учета энергоресурсов</w:t>
            </w:r>
          </w:p>
        </w:tc>
        <w:tc>
          <w:tcPr>
            <w:tcW w:w="710" w:type="dxa"/>
            <w:vAlign w:val="center"/>
          </w:tcPr>
          <w:p w:rsidR="008D3518" w:rsidRPr="008D3518" w:rsidRDefault="008D3518">
            <w:pPr>
              <w:pStyle w:val="ConsPlusNormal"/>
            </w:pPr>
          </w:p>
        </w:tc>
        <w:tc>
          <w:tcPr>
            <w:tcW w:w="850" w:type="dxa"/>
            <w:vAlign w:val="center"/>
          </w:tcPr>
          <w:p w:rsidR="008D3518" w:rsidRPr="008D3518" w:rsidRDefault="008D3518">
            <w:pPr>
              <w:pStyle w:val="ConsPlusNormal"/>
            </w:pPr>
          </w:p>
        </w:tc>
        <w:tc>
          <w:tcPr>
            <w:tcW w:w="907" w:type="dxa"/>
            <w:vAlign w:val="center"/>
          </w:tcPr>
          <w:p w:rsidR="008D3518" w:rsidRPr="008D3518" w:rsidRDefault="008D3518">
            <w:pPr>
              <w:pStyle w:val="ConsPlusNormal"/>
            </w:pPr>
          </w:p>
        </w:tc>
        <w:tc>
          <w:tcPr>
            <w:tcW w:w="907" w:type="dxa"/>
            <w:vAlign w:val="center"/>
          </w:tcPr>
          <w:p w:rsidR="008D3518" w:rsidRPr="008D3518" w:rsidRDefault="008D3518">
            <w:pPr>
              <w:pStyle w:val="ConsPlusNormal"/>
            </w:pPr>
          </w:p>
        </w:tc>
      </w:tr>
      <w:tr w:rsidR="008D3518" w:rsidRPr="008D3518">
        <w:tc>
          <w:tcPr>
            <w:tcW w:w="567" w:type="dxa"/>
            <w:vAlign w:val="center"/>
          </w:tcPr>
          <w:p w:rsidR="008D3518" w:rsidRPr="008D3518" w:rsidRDefault="008D3518">
            <w:pPr>
              <w:pStyle w:val="ConsPlusNormal"/>
              <w:jc w:val="center"/>
            </w:pPr>
            <w:r w:rsidRPr="008D3518">
              <w:t>3.1.</w:t>
            </w:r>
          </w:p>
        </w:tc>
        <w:tc>
          <w:tcPr>
            <w:tcW w:w="5102" w:type="dxa"/>
            <w:vAlign w:val="center"/>
          </w:tcPr>
          <w:p w:rsidR="008D3518" w:rsidRPr="008D3518" w:rsidRDefault="008D3518">
            <w:pPr>
              <w:pStyle w:val="ConsPlusNormal"/>
            </w:pPr>
            <w:r w:rsidRPr="008D3518">
              <w:t>электрическая энергия</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r>
      <w:tr w:rsidR="008D3518" w:rsidRPr="008D3518">
        <w:tc>
          <w:tcPr>
            <w:tcW w:w="567" w:type="dxa"/>
            <w:vAlign w:val="center"/>
          </w:tcPr>
          <w:p w:rsidR="008D3518" w:rsidRPr="008D3518" w:rsidRDefault="008D3518">
            <w:pPr>
              <w:pStyle w:val="ConsPlusNormal"/>
              <w:jc w:val="center"/>
            </w:pPr>
            <w:r w:rsidRPr="008D3518">
              <w:t>3.2.</w:t>
            </w:r>
          </w:p>
        </w:tc>
        <w:tc>
          <w:tcPr>
            <w:tcW w:w="5102" w:type="dxa"/>
            <w:vAlign w:val="center"/>
          </w:tcPr>
          <w:p w:rsidR="008D3518" w:rsidRPr="008D3518" w:rsidRDefault="008D3518">
            <w:pPr>
              <w:pStyle w:val="ConsPlusNormal"/>
            </w:pPr>
            <w:r w:rsidRPr="008D3518">
              <w:t>тепловая энергия</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r>
      <w:tr w:rsidR="008D3518" w:rsidRPr="008D3518">
        <w:tc>
          <w:tcPr>
            <w:tcW w:w="567" w:type="dxa"/>
            <w:vAlign w:val="center"/>
          </w:tcPr>
          <w:p w:rsidR="008D3518" w:rsidRPr="008D3518" w:rsidRDefault="008D3518">
            <w:pPr>
              <w:pStyle w:val="ConsPlusNormal"/>
              <w:jc w:val="center"/>
            </w:pPr>
            <w:r w:rsidRPr="008D3518">
              <w:t>3.3.</w:t>
            </w:r>
          </w:p>
        </w:tc>
        <w:tc>
          <w:tcPr>
            <w:tcW w:w="5102" w:type="dxa"/>
            <w:vAlign w:val="center"/>
          </w:tcPr>
          <w:p w:rsidR="008D3518" w:rsidRPr="008D3518" w:rsidRDefault="008D3518">
            <w:pPr>
              <w:pStyle w:val="ConsPlusNormal"/>
            </w:pPr>
            <w:r w:rsidRPr="008D3518">
              <w:t>вода</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r>
      <w:tr w:rsidR="008D3518" w:rsidRPr="008D3518">
        <w:tc>
          <w:tcPr>
            <w:tcW w:w="567" w:type="dxa"/>
            <w:vAlign w:val="center"/>
          </w:tcPr>
          <w:p w:rsidR="008D3518" w:rsidRPr="008D3518" w:rsidRDefault="008D3518">
            <w:pPr>
              <w:pStyle w:val="ConsPlusNormal"/>
              <w:jc w:val="center"/>
            </w:pPr>
            <w:r w:rsidRPr="008D3518">
              <w:t>3.4.</w:t>
            </w:r>
          </w:p>
        </w:tc>
        <w:tc>
          <w:tcPr>
            <w:tcW w:w="5102" w:type="dxa"/>
            <w:vAlign w:val="center"/>
          </w:tcPr>
          <w:p w:rsidR="008D3518" w:rsidRPr="008D3518" w:rsidRDefault="008D3518">
            <w:pPr>
              <w:pStyle w:val="ConsPlusNormal"/>
            </w:pPr>
            <w:r w:rsidRPr="008D3518">
              <w:t>газ</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c>
          <w:tcPr>
            <w:tcW w:w="907" w:type="dxa"/>
            <w:vAlign w:val="center"/>
          </w:tcPr>
          <w:p w:rsidR="008D3518" w:rsidRPr="008D3518" w:rsidRDefault="008D3518">
            <w:pPr>
              <w:pStyle w:val="ConsPlusNormal"/>
              <w:jc w:val="center"/>
            </w:pPr>
            <w:r w:rsidRPr="008D3518">
              <w:t>100</w:t>
            </w:r>
          </w:p>
        </w:tc>
      </w:tr>
      <w:tr w:rsidR="008D3518" w:rsidRPr="008D3518">
        <w:tc>
          <w:tcPr>
            <w:tcW w:w="567" w:type="dxa"/>
            <w:vAlign w:val="center"/>
          </w:tcPr>
          <w:p w:rsidR="008D3518" w:rsidRPr="008D3518" w:rsidRDefault="008D3518">
            <w:pPr>
              <w:pStyle w:val="ConsPlusNormal"/>
              <w:jc w:val="center"/>
            </w:pPr>
            <w:bookmarkStart w:id="4" w:name="P94"/>
            <w:bookmarkEnd w:id="4"/>
            <w:r w:rsidRPr="008D3518">
              <w:t>4.</w:t>
            </w:r>
          </w:p>
        </w:tc>
        <w:tc>
          <w:tcPr>
            <w:tcW w:w="5102" w:type="dxa"/>
            <w:vAlign w:val="bottom"/>
          </w:tcPr>
          <w:p w:rsidR="008D3518" w:rsidRPr="008D3518" w:rsidRDefault="008D3518">
            <w:pPr>
              <w:pStyle w:val="ConsPlusNormal"/>
            </w:pPr>
            <w:r w:rsidRPr="008D3518">
              <w:t xml:space="preserve">Сокращение удельного расхода электрической энергии в зданиях, строениях, сооружениях организации на 1 </w:t>
            </w:r>
            <w:r w:rsidRPr="008D3518">
              <w:lastRenderedPageBreak/>
              <w:t>м</w:t>
            </w:r>
            <w:r w:rsidRPr="008D3518">
              <w:rPr>
                <w:vertAlign w:val="superscript"/>
              </w:rPr>
              <w:t>2</w:t>
            </w:r>
            <w:r w:rsidRPr="008D3518">
              <w:t xml:space="preserve"> площади указанных помещений</w:t>
            </w:r>
          </w:p>
        </w:tc>
        <w:tc>
          <w:tcPr>
            <w:tcW w:w="710" w:type="dxa"/>
            <w:vAlign w:val="center"/>
          </w:tcPr>
          <w:p w:rsidR="008D3518" w:rsidRPr="008D3518" w:rsidRDefault="008D3518">
            <w:pPr>
              <w:pStyle w:val="ConsPlusNormal"/>
              <w:jc w:val="center"/>
            </w:pPr>
            <w:r w:rsidRPr="008D3518">
              <w:lastRenderedPageBreak/>
              <w:t>%</w:t>
            </w:r>
          </w:p>
        </w:tc>
        <w:tc>
          <w:tcPr>
            <w:tcW w:w="850" w:type="dxa"/>
            <w:vAlign w:val="center"/>
          </w:tcPr>
          <w:p w:rsidR="008D3518" w:rsidRPr="008D3518" w:rsidRDefault="008D3518">
            <w:pPr>
              <w:pStyle w:val="ConsPlusNormal"/>
              <w:jc w:val="center"/>
            </w:pPr>
            <w:r w:rsidRPr="008D3518">
              <w:t>0,01</w:t>
            </w:r>
          </w:p>
        </w:tc>
        <w:tc>
          <w:tcPr>
            <w:tcW w:w="907" w:type="dxa"/>
            <w:vAlign w:val="center"/>
          </w:tcPr>
          <w:p w:rsidR="008D3518" w:rsidRPr="008D3518" w:rsidRDefault="008D3518">
            <w:pPr>
              <w:pStyle w:val="ConsPlusNormal"/>
              <w:jc w:val="center"/>
            </w:pPr>
            <w:r w:rsidRPr="008D3518">
              <w:t>0,01</w:t>
            </w:r>
          </w:p>
        </w:tc>
        <w:tc>
          <w:tcPr>
            <w:tcW w:w="907" w:type="dxa"/>
            <w:vAlign w:val="center"/>
          </w:tcPr>
          <w:p w:rsidR="008D3518" w:rsidRPr="008D3518" w:rsidRDefault="008D3518">
            <w:pPr>
              <w:pStyle w:val="ConsPlusNormal"/>
              <w:jc w:val="center"/>
            </w:pPr>
            <w:r w:rsidRPr="008D3518">
              <w:t>0,01</w:t>
            </w:r>
          </w:p>
        </w:tc>
      </w:tr>
      <w:tr w:rsidR="008D3518" w:rsidRPr="008D3518">
        <w:tc>
          <w:tcPr>
            <w:tcW w:w="567" w:type="dxa"/>
            <w:vAlign w:val="center"/>
          </w:tcPr>
          <w:p w:rsidR="008D3518" w:rsidRPr="008D3518" w:rsidRDefault="008D3518">
            <w:pPr>
              <w:pStyle w:val="ConsPlusNormal"/>
              <w:jc w:val="center"/>
            </w:pPr>
            <w:bookmarkStart w:id="5" w:name="P100"/>
            <w:bookmarkEnd w:id="5"/>
            <w:r w:rsidRPr="008D3518">
              <w:t>5.</w:t>
            </w:r>
          </w:p>
        </w:tc>
        <w:tc>
          <w:tcPr>
            <w:tcW w:w="5102" w:type="dxa"/>
            <w:vAlign w:val="bottom"/>
          </w:tcPr>
          <w:p w:rsidR="008D3518" w:rsidRPr="008D3518" w:rsidRDefault="008D3518">
            <w:pPr>
              <w:pStyle w:val="ConsPlusNormal"/>
            </w:pPr>
            <w:r w:rsidRPr="008D3518">
              <w:t>Сокращение удельного расхода тепловой энергии в зданиях, строениях, сооружениях организации на 1 м</w:t>
            </w:r>
            <w:r w:rsidRPr="008D3518">
              <w:rPr>
                <w:vertAlign w:val="superscript"/>
              </w:rPr>
              <w:t>3</w:t>
            </w:r>
            <w:r w:rsidRPr="008D3518">
              <w:t xml:space="preserve"> объема указанных помещений</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jc w:val="center"/>
            </w:pPr>
            <w:r w:rsidRPr="008D3518">
              <w:t>0,01</w:t>
            </w:r>
          </w:p>
        </w:tc>
        <w:tc>
          <w:tcPr>
            <w:tcW w:w="907" w:type="dxa"/>
            <w:vAlign w:val="center"/>
          </w:tcPr>
          <w:p w:rsidR="008D3518" w:rsidRPr="008D3518" w:rsidRDefault="008D3518">
            <w:pPr>
              <w:pStyle w:val="ConsPlusNormal"/>
              <w:jc w:val="center"/>
            </w:pPr>
            <w:r w:rsidRPr="008D3518">
              <w:t>0,01</w:t>
            </w:r>
          </w:p>
        </w:tc>
        <w:tc>
          <w:tcPr>
            <w:tcW w:w="907" w:type="dxa"/>
            <w:vAlign w:val="center"/>
          </w:tcPr>
          <w:p w:rsidR="008D3518" w:rsidRPr="008D3518" w:rsidRDefault="008D3518">
            <w:pPr>
              <w:pStyle w:val="ConsPlusNormal"/>
              <w:jc w:val="center"/>
            </w:pPr>
            <w:r w:rsidRPr="008D3518">
              <w:t>0,01</w:t>
            </w:r>
          </w:p>
        </w:tc>
      </w:tr>
      <w:tr w:rsidR="008D3518" w:rsidRPr="008D3518">
        <w:tc>
          <w:tcPr>
            <w:tcW w:w="567" w:type="dxa"/>
            <w:vAlign w:val="center"/>
          </w:tcPr>
          <w:p w:rsidR="008D3518" w:rsidRPr="008D3518" w:rsidRDefault="008D3518">
            <w:pPr>
              <w:pStyle w:val="ConsPlusNormal"/>
              <w:jc w:val="center"/>
            </w:pPr>
            <w:bookmarkStart w:id="6" w:name="P106"/>
            <w:bookmarkEnd w:id="6"/>
            <w:r w:rsidRPr="008D3518">
              <w:t>6.</w:t>
            </w:r>
          </w:p>
        </w:tc>
        <w:tc>
          <w:tcPr>
            <w:tcW w:w="5102" w:type="dxa"/>
            <w:vAlign w:val="center"/>
          </w:tcPr>
          <w:p w:rsidR="008D3518" w:rsidRPr="008D3518" w:rsidRDefault="008D3518">
            <w:pPr>
              <w:pStyle w:val="ConsPlusNormal"/>
            </w:pPr>
            <w:r w:rsidRPr="008D3518">
              <w:t>Процент использования осветительных устройств с использованием светодиодов от общего объема осветительных устройств &lt;**&gt;</w:t>
            </w:r>
          </w:p>
        </w:tc>
        <w:tc>
          <w:tcPr>
            <w:tcW w:w="710" w:type="dxa"/>
            <w:vAlign w:val="center"/>
          </w:tcPr>
          <w:p w:rsidR="008D3518" w:rsidRPr="008D3518" w:rsidRDefault="008D3518">
            <w:pPr>
              <w:pStyle w:val="ConsPlusNormal"/>
              <w:jc w:val="center"/>
            </w:pPr>
            <w:r w:rsidRPr="008D3518">
              <w:t>%</w:t>
            </w:r>
          </w:p>
        </w:tc>
        <w:tc>
          <w:tcPr>
            <w:tcW w:w="850" w:type="dxa"/>
            <w:vAlign w:val="center"/>
          </w:tcPr>
          <w:p w:rsidR="008D3518" w:rsidRPr="008D3518" w:rsidRDefault="008D3518">
            <w:pPr>
              <w:pStyle w:val="ConsPlusNormal"/>
            </w:pPr>
          </w:p>
        </w:tc>
        <w:tc>
          <w:tcPr>
            <w:tcW w:w="907" w:type="dxa"/>
            <w:vAlign w:val="center"/>
          </w:tcPr>
          <w:p w:rsidR="008D3518" w:rsidRPr="008D3518" w:rsidRDefault="008D3518">
            <w:pPr>
              <w:pStyle w:val="ConsPlusNormal"/>
            </w:pPr>
          </w:p>
        </w:tc>
        <w:tc>
          <w:tcPr>
            <w:tcW w:w="907" w:type="dxa"/>
            <w:vAlign w:val="center"/>
          </w:tcPr>
          <w:p w:rsidR="008D3518" w:rsidRPr="008D3518" w:rsidRDefault="008D3518">
            <w:pPr>
              <w:pStyle w:val="ConsPlusNormal"/>
            </w:pPr>
          </w:p>
        </w:tc>
      </w:tr>
    </w:tbl>
    <w:p w:rsidR="008D3518" w:rsidRPr="008D3518" w:rsidRDefault="008D3518">
      <w:pPr>
        <w:pStyle w:val="ConsPlusNormal"/>
        <w:jc w:val="both"/>
      </w:pPr>
    </w:p>
    <w:p w:rsidR="008D3518" w:rsidRPr="008D3518" w:rsidRDefault="008D3518">
      <w:pPr>
        <w:pStyle w:val="ConsPlusNormal"/>
        <w:ind w:firstLine="540"/>
        <w:jc w:val="both"/>
      </w:pPr>
      <w:r w:rsidRPr="008D3518">
        <w:t>--------------------------------</w:t>
      </w:r>
    </w:p>
    <w:p w:rsidR="008D3518" w:rsidRPr="008D3518" w:rsidRDefault="008D3518">
      <w:pPr>
        <w:pStyle w:val="ConsPlusNormal"/>
        <w:spacing w:before="260"/>
        <w:ind w:firstLine="540"/>
        <w:jc w:val="both"/>
      </w:pPr>
      <w:r w:rsidRPr="008D3518">
        <w:t>&lt;*&gt; i год - год начала реализации программы.</w:t>
      </w:r>
    </w:p>
    <w:p w:rsidR="008D3518" w:rsidRPr="008D3518" w:rsidRDefault="008D3518">
      <w:pPr>
        <w:pStyle w:val="ConsPlusNormal"/>
        <w:spacing w:before="260"/>
        <w:ind w:firstLine="540"/>
        <w:jc w:val="both"/>
      </w:pPr>
      <w:r w:rsidRPr="008D3518">
        <w:t>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8D3518" w:rsidRPr="008D3518" w:rsidRDefault="008D3518">
      <w:pPr>
        <w:pStyle w:val="ConsPlusNormal"/>
        <w:spacing w:before="260"/>
        <w:ind w:firstLine="540"/>
        <w:jc w:val="both"/>
      </w:pPr>
      <w:r w:rsidRPr="008D3518">
        <w:t>&lt;**&gt; доля осветительных устройств с использованием светодиодов должна составлять:</w:t>
      </w:r>
    </w:p>
    <w:p w:rsidR="008D3518" w:rsidRPr="008D3518" w:rsidRDefault="008D3518">
      <w:pPr>
        <w:pStyle w:val="ConsPlusNormal"/>
        <w:spacing w:before="260"/>
        <w:ind w:firstLine="540"/>
        <w:jc w:val="both"/>
      </w:pPr>
      <w:r w:rsidRPr="008D3518">
        <w:t>в 2017 году - не менее 10 процентов общего объема используемых осветительных устройств;</w:t>
      </w:r>
    </w:p>
    <w:p w:rsidR="008D3518" w:rsidRPr="008D3518" w:rsidRDefault="008D3518">
      <w:pPr>
        <w:pStyle w:val="ConsPlusNormal"/>
        <w:spacing w:before="260"/>
        <w:ind w:firstLine="540"/>
        <w:jc w:val="both"/>
      </w:pPr>
      <w:r w:rsidRPr="008D3518">
        <w:t>в 2018 году - не менее 30 процентов общего объема используемых осветительных устройств;</w:t>
      </w:r>
    </w:p>
    <w:p w:rsidR="008D3518" w:rsidRPr="008D3518" w:rsidRDefault="008D3518">
      <w:pPr>
        <w:pStyle w:val="ConsPlusNormal"/>
        <w:spacing w:before="260"/>
        <w:ind w:firstLine="540"/>
        <w:jc w:val="both"/>
      </w:pPr>
      <w:r w:rsidRPr="008D3518">
        <w:t>в 2019 году - не менее 50 процентов общего объема используемых осветительных устройств;</w:t>
      </w:r>
    </w:p>
    <w:p w:rsidR="008D3518" w:rsidRPr="008D3518" w:rsidRDefault="008D3518">
      <w:pPr>
        <w:pStyle w:val="ConsPlusNormal"/>
        <w:spacing w:before="260"/>
        <w:ind w:firstLine="540"/>
        <w:jc w:val="both"/>
      </w:pPr>
      <w:r w:rsidRPr="008D3518">
        <w:t>в 2020 году и далее - не менее 75 процентов общего объема используемых осветительных устройств.</w:t>
      </w:r>
    </w:p>
    <w:p w:rsidR="008D3518" w:rsidRPr="008D3518" w:rsidRDefault="008D3518">
      <w:pPr>
        <w:pStyle w:val="ConsPlusNormal"/>
        <w:jc w:val="both"/>
      </w:pPr>
    </w:p>
    <w:p w:rsidR="008D3518" w:rsidRPr="008D3518" w:rsidRDefault="008D3518">
      <w:pPr>
        <w:pStyle w:val="ConsPlusNormal"/>
        <w:ind w:firstLine="540"/>
        <w:jc w:val="both"/>
      </w:pPr>
      <w:r w:rsidRPr="008D3518">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8D3518" w:rsidRPr="008D3518" w:rsidRDefault="008D3518">
      <w:pPr>
        <w:pStyle w:val="ConsPlusNormal"/>
        <w:spacing w:before="260"/>
        <w:ind w:firstLine="540"/>
        <w:jc w:val="both"/>
      </w:pPr>
      <w:r w:rsidRPr="008D3518">
        <w:t xml:space="preserve">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норматива технологических потерь электрической энергии при ее передаче, утвержденного Министерством энергетики </w:t>
      </w:r>
      <w:r w:rsidRPr="008D3518">
        <w:lastRenderedPageBreak/>
        <w:t>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 и прогнозного значения технологических потерь электрической энергии при ее передаче по электрическим сетям в соответствующем году, к значению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w:t>
      </w:r>
    </w:p>
    <w:p w:rsidR="008D3518" w:rsidRPr="008D3518" w:rsidRDefault="008D3518">
      <w:pPr>
        <w:pStyle w:val="ConsPlusNormal"/>
        <w:spacing w:before="260"/>
        <w:ind w:firstLine="540"/>
        <w:jc w:val="both"/>
      </w:pPr>
      <w:r w:rsidRPr="008D3518">
        <w:t>2. Значения целевых показателей, предусмотренных пунктами 2, 4 и 5,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8D3518" w:rsidRPr="008D3518" w:rsidRDefault="008D3518">
      <w:pPr>
        <w:pStyle w:val="ConsPlusNormal"/>
        <w:spacing w:before="260"/>
        <w:ind w:firstLine="540"/>
        <w:jc w:val="both"/>
      </w:pPr>
      <w:r w:rsidRPr="008D3518">
        <w:t>3. Значение целевого показателя, предусмотренного пунктом 6,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bookmarkEnd w:id="0"/>
    </w:p>
    <w:sectPr w:rsidR="008D3518" w:rsidRPr="008D3518" w:rsidSect="0062228A">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18"/>
    <w:rsid w:val="000F648B"/>
    <w:rsid w:val="005F74D8"/>
    <w:rsid w:val="006F1F3F"/>
    <w:rsid w:val="008D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D9330"/>
  <w15:chartTrackingRefBased/>
  <w15:docId w15:val="{AD1B0F02-6670-4706-A972-C89670A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518"/>
    <w:pPr>
      <w:widowControl w:val="0"/>
      <w:autoSpaceDE w:val="0"/>
      <w:autoSpaceDN w:val="0"/>
    </w:pPr>
    <w:rPr>
      <w:sz w:val="26"/>
    </w:rPr>
  </w:style>
  <w:style w:type="paragraph" w:customStyle="1" w:styleId="ConsPlusTitle">
    <w:name w:val="ConsPlusTitle"/>
    <w:rsid w:val="008D3518"/>
    <w:pPr>
      <w:widowControl w:val="0"/>
      <w:autoSpaceDE w:val="0"/>
      <w:autoSpaceDN w:val="0"/>
    </w:pPr>
    <w:rPr>
      <w:b/>
      <w:sz w:val="26"/>
    </w:rPr>
  </w:style>
  <w:style w:type="paragraph" w:customStyle="1" w:styleId="ConsPlusTitlePage">
    <w:name w:val="ConsPlusTitlePage"/>
    <w:rsid w:val="008D3518"/>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8658</Characters>
  <Application>Microsoft Office Word</Application>
  <DocSecurity>0</DocSecurity>
  <Lines>72</Lines>
  <Paragraphs>19</Paragraphs>
  <ScaleCrop>false</ScaleCrop>
  <Company>ДТР Томской области</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2023-05-16T09:18:00Z</dcterms:created>
  <dcterms:modified xsi:type="dcterms:W3CDTF">2023-05-16T09:19:00Z</dcterms:modified>
</cp:coreProperties>
</file>